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="005D402D" w:rsidRPr="005D402D">
        <w:rPr>
          <w:rFonts w:eastAsia="標楷體" w:hint="eastAsia"/>
          <w:color w:val="000000" w:themeColor="text1"/>
          <w:sz w:val="28"/>
          <w:u w:val="single"/>
        </w:rPr>
        <w:t>探究與實作：地理與人文社會科學研究</w:t>
      </w:r>
      <w:r w:rsidR="00367D30" w:rsidRPr="00367D30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5D402D" w:rsidP="005915A4">
            <w:pPr>
              <w:rPr>
                <w:rFonts w:ascii="標楷體" w:eastAsia="標楷體" w:hAnsi="標楷體"/>
              </w:rPr>
            </w:pPr>
            <w:r w:rsidRPr="005D402D">
              <w:rPr>
                <w:rFonts w:ascii="標楷體" w:eastAsia="標楷體" w:hAnsi="標楷體" w:hint="eastAsia"/>
              </w:rPr>
              <w:t>探究與實作：地理與人文社會科學研究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5D402D" w:rsidP="005915A4">
            <w:pPr>
              <w:rPr>
                <w:rFonts w:ascii="標楷體" w:eastAsia="標楷體" w:hAnsi="標楷體"/>
              </w:rPr>
            </w:pPr>
            <w:r w:rsidRPr="005D402D">
              <w:rPr>
                <w:rFonts w:ascii="標楷體" w:eastAsia="標楷體" w:hAnsi="標楷體"/>
              </w:rPr>
              <w:t>Inquiry and Practice: Geographic Perspectives in the Humanities and Social Sciences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 xml:space="preserve">內聘 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8454B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 xml:space="preserve">必修 </w:t>
            </w:r>
            <w:r w:rsidR="007A614C"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校訂</w:t>
            </w:r>
            <w:r w:rsidR="00D064D1"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7A614C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="0006799F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="005D402D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5D402D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</w:rPr>
              <w:t>原班級</w:t>
            </w:r>
            <w:r w:rsidR="00D064D1" w:rsidRPr="002121E6">
              <w:rPr>
                <w:rFonts w:ascii="標楷體" w:eastAsia="標楷體" w:hAnsi="標楷體"/>
              </w:rPr>
              <w:t xml:space="preserve"> </w:t>
            </w:r>
            <w:r w:rsidR="008454B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 xml:space="preserve">跨學程 </w:t>
            </w:r>
            <w:r w:rsidR="00D064D1"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5D402D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5D402D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5D402D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A1.身心素質與自我精進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5D402D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B1.符號運用與溝通表達</w:t>
            </w: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="008454B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454B1"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="00D064D1"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="005D402D"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5D402D" w:rsidP="005915A4">
            <w:pPr>
              <w:rPr>
                <w:rFonts w:ascii="標楷體" w:eastAsia="標楷體" w:hAnsi="標楷體"/>
              </w:rPr>
            </w:pPr>
            <w:r w:rsidRPr="005D402D">
              <w:rPr>
                <w:rFonts w:ascii="標楷體" w:eastAsia="標楷體" w:hAnsi="標楷體" w:hint="eastAsia"/>
              </w:rPr>
              <w:t>探索創新、自發學習、溝通表達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4112F2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bookmarkStart w:id="0" w:name="_GoBack"/>
            <w:bookmarkEnd w:id="0"/>
            <w:r w:rsidR="00D064D1">
              <w:rPr>
                <w:rFonts w:ascii="標楷體" w:eastAsia="標楷體" w:hAnsi="標楷體" w:hint="eastAsia"/>
              </w:rPr>
              <w:t>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7A614C">
              <w:rPr>
                <w:rFonts w:ascii="標楷體" w:eastAsia="標楷體" w:hAnsi="標楷體" w:hint="eastAsia"/>
              </w:rPr>
              <w:t>2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8454B1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 w:rsidR="005D402D"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06799F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="00D064D1"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5D402D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064D1"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5D402D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高一地理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D064D1" w:rsidRPr="002121E6" w:rsidRDefault="005D402D" w:rsidP="007A614C">
            <w:pPr>
              <w:snapToGrid w:val="0"/>
              <w:rPr>
                <w:rFonts w:ascii="標楷體" w:eastAsia="標楷體" w:hAnsi="標楷體"/>
              </w:rPr>
            </w:pPr>
            <w:r w:rsidRPr="005D402D">
              <w:rPr>
                <w:rFonts w:ascii="標楷體" w:eastAsia="標楷體" w:hAnsi="標楷體" w:hint="eastAsia"/>
              </w:rPr>
              <w:t>將地理學的研究方法應用在不同的人文社會與環境議題，讓學生以分組探究、實作的方式進行學習，並以多元的方式展現研究成果。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D064D1" w:rsidRPr="002121E6" w:rsidTr="007A614C">
        <w:trPr>
          <w:cantSplit/>
          <w:trHeight w:val="70"/>
          <w:jc w:val="center"/>
        </w:trPr>
        <w:tc>
          <w:tcPr>
            <w:tcW w:w="774" w:type="pct"/>
            <w:vAlign w:val="center"/>
          </w:tcPr>
          <w:p w:rsidR="00D064D1" w:rsidRPr="002121E6" w:rsidRDefault="00AF482D" w:rsidP="005915A4">
            <w:pPr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地理的研究方法</w:t>
            </w:r>
          </w:p>
        </w:tc>
        <w:tc>
          <w:tcPr>
            <w:tcW w:w="2809" w:type="pct"/>
            <w:gridSpan w:val="5"/>
          </w:tcPr>
          <w:p w:rsidR="00AF482D" w:rsidRPr="00AF482D" w:rsidRDefault="00AF482D" w:rsidP="00AF482D">
            <w:pPr>
              <w:snapToGrid w:val="0"/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地理研究的分類與發現問題的方法</w:t>
            </w:r>
          </w:p>
          <w:p w:rsidR="00D064D1" w:rsidRPr="002121E6" w:rsidRDefault="00AF482D" w:rsidP="00AF482D">
            <w:pPr>
              <w:snapToGrid w:val="0"/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蒐集和解析資料的技能</w:t>
            </w:r>
          </w:p>
        </w:tc>
        <w:tc>
          <w:tcPr>
            <w:tcW w:w="675" w:type="pct"/>
          </w:tcPr>
          <w:p w:rsidR="00D064D1" w:rsidRPr="002121E6" w:rsidRDefault="00AF482D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D064D1" w:rsidRPr="002121E6" w:rsidRDefault="00AF482D" w:rsidP="005915A4">
            <w:pPr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地理方法的應用（一）：環境與生態景觀</w:t>
            </w:r>
          </w:p>
        </w:tc>
        <w:tc>
          <w:tcPr>
            <w:tcW w:w="2809" w:type="pct"/>
            <w:gridSpan w:val="5"/>
            <w:vAlign w:val="center"/>
          </w:tcPr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疾病擴散的類型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疾病擴散的空間分析與實例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都市化與都市發展</w:t>
            </w:r>
          </w:p>
          <w:p w:rsidR="00D064D1" w:rsidRPr="00E609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都市化與都市生態環境變遷</w:t>
            </w:r>
          </w:p>
        </w:tc>
        <w:tc>
          <w:tcPr>
            <w:tcW w:w="675" w:type="pct"/>
            <w:vAlign w:val="center"/>
          </w:tcPr>
          <w:p w:rsidR="00D064D1" w:rsidRPr="00E6092D" w:rsidRDefault="00AF482D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D064D1" w:rsidRPr="002121E6" w:rsidRDefault="00AF482D" w:rsidP="005915A4">
            <w:pPr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地理方法的應用（二）：觀光與休閒</w:t>
            </w:r>
          </w:p>
        </w:tc>
        <w:tc>
          <w:tcPr>
            <w:tcW w:w="2809" w:type="pct"/>
            <w:gridSpan w:val="5"/>
            <w:vAlign w:val="center"/>
          </w:tcPr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農業生產、食物消費與地理環境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飲食文化與地理環境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地方文化與觀光產業的發展</w:t>
            </w:r>
          </w:p>
          <w:p w:rsidR="00D064D1" w:rsidRPr="00E609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生態旅遊的意涵與省思</w:t>
            </w:r>
          </w:p>
        </w:tc>
        <w:tc>
          <w:tcPr>
            <w:tcW w:w="675" w:type="pct"/>
            <w:vAlign w:val="center"/>
          </w:tcPr>
          <w:p w:rsidR="00D064D1" w:rsidRPr="00E6092D" w:rsidRDefault="00AF482D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D064D1" w:rsidRPr="002121E6" w:rsidRDefault="00AF482D" w:rsidP="005915A4">
            <w:pPr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lastRenderedPageBreak/>
              <w:t>地理方法的實踐：小組分組報告</w:t>
            </w:r>
          </w:p>
        </w:tc>
        <w:tc>
          <w:tcPr>
            <w:tcW w:w="2809" w:type="pct"/>
            <w:gridSpan w:val="5"/>
            <w:vAlign w:val="center"/>
          </w:tcPr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發現問題、設定研究主題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設計解決問題的策略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蒐集、分析、解釋資料，並撰寫研究報告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小組報告</w:t>
            </w:r>
            <w:r w:rsidRPr="00AF482D">
              <w:rPr>
                <w:rFonts w:eastAsia="標楷體" w:hint="eastAsia"/>
                <w:kern w:val="0"/>
              </w:rPr>
              <w:t>1</w:t>
            </w:r>
            <w:r w:rsidRPr="00AF482D">
              <w:rPr>
                <w:rFonts w:eastAsia="標楷體" w:hint="eastAsia"/>
                <w:kern w:val="0"/>
              </w:rPr>
              <w:t>：口頭報告並結合簡報軟體、影片、照片、地圖等方式呈現研究結果。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小組報告</w:t>
            </w:r>
            <w:r w:rsidRPr="00AF482D">
              <w:rPr>
                <w:rFonts w:eastAsia="標楷體" w:hint="eastAsia"/>
                <w:kern w:val="0"/>
              </w:rPr>
              <w:t>2</w:t>
            </w:r>
            <w:r w:rsidRPr="00AF482D">
              <w:rPr>
                <w:rFonts w:eastAsia="標楷體" w:hint="eastAsia"/>
                <w:kern w:val="0"/>
              </w:rPr>
              <w:t>：口頭報告並結合簡報軟體、影片、照片、地圖等方式呈現研究結果。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小組報告</w:t>
            </w:r>
            <w:r w:rsidRPr="00AF482D">
              <w:rPr>
                <w:rFonts w:eastAsia="標楷體" w:hint="eastAsia"/>
                <w:kern w:val="0"/>
              </w:rPr>
              <w:t>3</w:t>
            </w:r>
            <w:r w:rsidRPr="00AF482D">
              <w:rPr>
                <w:rFonts w:eastAsia="標楷體" w:hint="eastAsia"/>
                <w:kern w:val="0"/>
              </w:rPr>
              <w:t>：口頭報告並結合簡報軟體、影片、照片、地圖等方式呈現研究結果。</w:t>
            </w:r>
          </w:p>
          <w:p w:rsidR="00AF482D" w:rsidRPr="00AF482D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小組報告</w:t>
            </w:r>
            <w:r w:rsidRPr="00AF482D">
              <w:rPr>
                <w:rFonts w:eastAsia="標楷體" w:hint="eastAsia"/>
                <w:kern w:val="0"/>
              </w:rPr>
              <w:t>4</w:t>
            </w:r>
            <w:r w:rsidRPr="00AF482D">
              <w:rPr>
                <w:rFonts w:eastAsia="標楷體" w:hint="eastAsia"/>
                <w:kern w:val="0"/>
              </w:rPr>
              <w:t>：口頭報告並結合簡報軟體、影片、照片、地圖等方式呈現研究結果。</w:t>
            </w:r>
          </w:p>
          <w:p w:rsidR="00D064D1" w:rsidRPr="00D064D1" w:rsidRDefault="00AF482D" w:rsidP="00AF48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AF482D">
              <w:rPr>
                <w:rFonts w:eastAsia="標楷體" w:hint="eastAsia"/>
                <w:kern w:val="0"/>
              </w:rPr>
              <w:t>小組報告</w:t>
            </w:r>
            <w:r w:rsidRPr="00AF482D">
              <w:rPr>
                <w:rFonts w:eastAsia="標楷體" w:hint="eastAsia"/>
                <w:kern w:val="0"/>
              </w:rPr>
              <w:t>5</w:t>
            </w:r>
            <w:r w:rsidRPr="00AF482D">
              <w:rPr>
                <w:rFonts w:eastAsia="標楷體" w:hint="eastAsia"/>
                <w:kern w:val="0"/>
              </w:rPr>
              <w:t>：口頭報告並結合簡報軟體、影片、照片、地圖等方式呈現研究結果。</w:t>
            </w:r>
          </w:p>
        </w:tc>
        <w:tc>
          <w:tcPr>
            <w:tcW w:w="675" w:type="pct"/>
            <w:vAlign w:val="center"/>
          </w:tcPr>
          <w:p w:rsidR="00D064D1" w:rsidRPr="00E6092D" w:rsidRDefault="00AF482D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16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D064D1" w:rsidRPr="002121E6" w:rsidRDefault="00D064D1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D064D1" w:rsidRPr="002121E6" w:rsidRDefault="00AF482D" w:rsidP="005915A4">
            <w:pPr>
              <w:snapToGrid w:val="0"/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作業40％、小組報告60％</w:t>
            </w:r>
          </w:p>
        </w:tc>
      </w:tr>
      <w:tr w:rsidR="00D064D1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D064D1" w:rsidRPr="002121E6" w:rsidRDefault="00AF482D" w:rsidP="005915A4">
            <w:pPr>
              <w:snapToGrid w:val="0"/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電腦、投影機、平板</w:t>
            </w:r>
          </w:p>
        </w:tc>
      </w:tr>
      <w:tr w:rsidR="00D064D1" w:rsidRPr="002121E6" w:rsidTr="007A614C">
        <w:trPr>
          <w:cantSplit/>
          <w:trHeight w:val="48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D47AA6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教學注意事項</w:t>
            </w:r>
          </w:p>
        </w:tc>
        <w:tc>
          <w:tcPr>
            <w:tcW w:w="4226" w:type="pct"/>
            <w:gridSpan w:val="7"/>
          </w:tcPr>
          <w:p w:rsidR="00D064D1" w:rsidRPr="002121E6" w:rsidRDefault="00AF482D" w:rsidP="007A614C">
            <w:pPr>
              <w:snapToGrid w:val="0"/>
              <w:rPr>
                <w:rFonts w:ascii="標楷體" w:eastAsia="標楷體" w:hAnsi="標楷體"/>
              </w:rPr>
            </w:pPr>
            <w:r w:rsidRPr="00AF482D">
              <w:rPr>
                <w:rFonts w:ascii="標楷體" w:eastAsia="標楷體" w:hAnsi="標楷體" w:hint="eastAsia"/>
              </w:rPr>
              <w:t>進行活動前準備，確認電腦教室及軟硬體設備，若在教室裡進行活動，則確認每位學生都可使用一台平板</w:t>
            </w:r>
          </w:p>
        </w:tc>
      </w:tr>
      <w:tr w:rsidR="00051644" w:rsidRPr="00DB0402" w:rsidTr="007A614C">
        <w:trPr>
          <w:cantSplit/>
          <w:trHeight w:val="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2121E6" w:rsidRDefault="00051644" w:rsidP="005915A4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051644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AF48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="00AF482D">
              <w:rPr>
                <w:rFonts w:ascii="新細明體" w:hAnsi="新細明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="008454B1"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051644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8454B1" w:rsidP="007A614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大眾傳播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外語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/>
              </w:rPr>
              <w:t xml:space="preserve">    </w:t>
            </w:r>
            <w:r w:rsidR="00AF482D">
              <w:rPr>
                <w:rFonts w:ascii="新細明體" w:hAnsi="新細明體" w:hint="eastAsia"/>
              </w:rPr>
              <w:t>■</w:t>
            </w:r>
            <w:r w:rsidR="00051644" w:rsidRPr="00DB0402">
              <w:rPr>
                <w:rFonts w:ascii="標楷體" w:eastAsia="標楷體" w:hAnsi="標楷體" w:hint="eastAsia"/>
              </w:rPr>
              <w:t>文史哲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AF482D">
              <w:rPr>
                <w:rFonts w:ascii="新細明體" w:hAnsi="新細明體" w:hint="eastAsia"/>
              </w:rPr>
              <w:t>■</w:t>
            </w:r>
            <w:r w:rsidR="00051644" w:rsidRPr="00DB0402">
              <w:rPr>
                <w:rFonts w:ascii="標楷體" w:eastAsia="標楷體" w:hAnsi="標楷體" w:hint="eastAsia"/>
              </w:rPr>
              <w:t>教育</w:t>
            </w:r>
            <w:r w:rsidR="00051644" w:rsidRPr="00DB0402">
              <w:rPr>
                <w:rFonts w:ascii="標楷體" w:eastAsia="標楷體" w:hAnsi="標楷體" w:hint="eastAsia"/>
              </w:rPr>
              <w:tab/>
            </w:r>
            <w:r w:rsidR="00051644">
              <w:rPr>
                <w:rFonts w:ascii="標楷體" w:eastAsia="標楷體" w:hAnsi="標楷體"/>
              </w:rPr>
              <w:t xml:space="preserve">    </w:t>
            </w:r>
            <w:r w:rsidR="00051644">
              <w:rPr>
                <w:rFonts w:ascii="標楷體" w:eastAsia="標楷體" w:hAnsi="標楷體" w:hint="eastAsia"/>
              </w:rPr>
              <w:t>□</w:t>
            </w:r>
            <w:r w:rsidR="00051644"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051644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64" w:rsidRDefault="00E35964" w:rsidP="00F50050">
      <w:r>
        <w:separator/>
      </w:r>
    </w:p>
  </w:endnote>
  <w:endnote w:type="continuationSeparator" w:id="0">
    <w:p w:rsidR="00E35964" w:rsidRDefault="00E35964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64" w:rsidRDefault="00E35964" w:rsidP="00F50050">
      <w:r>
        <w:separator/>
      </w:r>
    </w:p>
  </w:footnote>
  <w:footnote w:type="continuationSeparator" w:id="0">
    <w:p w:rsidR="00E35964" w:rsidRDefault="00E35964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33F1A"/>
    <w:rsid w:val="00051644"/>
    <w:rsid w:val="0006799F"/>
    <w:rsid w:val="002611A4"/>
    <w:rsid w:val="00367D30"/>
    <w:rsid w:val="003B4211"/>
    <w:rsid w:val="003D3257"/>
    <w:rsid w:val="004112F2"/>
    <w:rsid w:val="004C3355"/>
    <w:rsid w:val="00592EB7"/>
    <w:rsid w:val="005D402D"/>
    <w:rsid w:val="007A614C"/>
    <w:rsid w:val="008454B1"/>
    <w:rsid w:val="008C70C2"/>
    <w:rsid w:val="00AF482D"/>
    <w:rsid w:val="00B474E8"/>
    <w:rsid w:val="00D064D1"/>
    <w:rsid w:val="00D47AA6"/>
    <w:rsid w:val="00D7131C"/>
    <w:rsid w:val="00E35964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2020-12-23T09:45:00Z</dcterms:created>
  <dcterms:modified xsi:type="dcterms:W3CDTF">2020-12-23T10:00:00Z</dcterms:modified>
</cp:coreProperties>
</file>