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="003D170F" w:rsidRPr="003D170F">
        <w:rPr>
          <w:rFonts w:eastAsia="標楷體" w:hint="eastAsia"/>
          <w:color w:val="000000" w:themeColor="text1"/>
          <w:sz w:val="28"/>
          <w:u w:val="single"/>
        </w:rPr>
        <w:t>閱讀理解與表達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3D170F" w:rsidP="005915A4">
            <w:pPr>
              <w:rPr>
                <w:rFonts w:ascii="標楷體" w:eastAsia="標楷體" w:hAnsi="標楷體"/>
              </w:rPr>
            </w:pPr>
            <w:r w:rsidRPr="003D170F">
              <w:rPr>
                <w:rFonts w:ascii="標楷體" w:eastAsia="標楷體" w:hAnsi="標楷體" w:hint="eastAsia"/>
              </w:rPr>
              <w:t>閱讀理解與表達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3D170F" w:rsidP="005915A4">
            <w:pPr>
              <w:rPr>
                <w:rFonts w:ascii="標楷體" w:eastAsia="標楷體" w:hAnsi="標楷體"/>
              </w:rPr>
            </w:pPr>
            <w:r w:rsidRPr="003D170F">
              <w:rPr>
                <w:rFonts w:ascii="標楷體" w:eastAsia="標楷體" w:hAnsi="標楷體"/>
              </w:rPr>
              <w:t>Reading comprehension and expression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3D170F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3D170F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3D170F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原班級</w:t>
            </w:r>
            <w:r w:rsidR="00D064D1"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跨學程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7A614C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3D170F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3D170F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B1.符號運用與溝通表達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="003D170F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 w:rsidRPr="007A614C">
              <w:rPr>
                <w:rFonts w:ascii="標楷體" w:eastAsia="標楷體" w:hAnsi="標楷體" w:hint="eastAsia"/>
              </w:rPr>
              <w:t>自發學習、溝通表達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3D170F"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7A614C">
              <w:rPr>
                <w:rFonts w:ascii="標楷體" w:eastAsia="標楷體" w:hAnsi="標楷體" w:hint="eastAsia"/>
              </w:rPr>
              <w:t>2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2B2503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(30字內)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1.透過專題過程，提高學生蒐集資料與分析資料的能力。</w:t>
            </w:r>
          </w:p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2.培養學生整合所學知識，以提升問題解決的能力。</w:t>
            </w:r>
          </w:p>
          <w:p w:rsidR="00D064D1" w:rsidRPr="002121E6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3.增加溝通表達能力及團隊合作精神。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2B2503" w:rsidRPr="002121E6" w:rsidTr="00C06A10">
        <w:trPr>
          <w:cantSplit/>
          <w:trHeight w:val="70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課程概要、繳交作業之格式、內容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設計思考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設計思考的意義與特色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問題意識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問題意識實作與修改</w:t>
            </w:r>
          </w:p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小組討論研究題目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widowControl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質量性研究</w:t>
            </w:r>
          </w:p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問卷設計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widowControl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文獻蒐集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蒐集文獻方法</w:t>
            </w:r>
          </w:p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資料庫、關鍵字、APA格式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widowControl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問卷製作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雲端問卷設計與應用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文書編輯能力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/>
              </w:rPr>
              <w:t>Word</w:t>
            </w:r>
            <w:r w:rsidRPr="002B2503">
              <w:rPr>
                <w:rFonts w:ascii="標楷體" w:eastAsia="標楷體" w:hAnsi="標楷體" w:hint="eastAsia"/>
              </w:rPr>
              <w:t>及excel工具使用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簡報技巧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簡報排版及技巧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lastRenderedPageBreak/>
              <w:t>溝通技巧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與他人溝通的技巧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團隊協調合作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團隊合作的秘訣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上臺報告</w:t>
            </w:r>
          </w:p>
        </w:tc>
        <w:tc>
          <w:tcPr>
            <w:tcW w:w="2809" w:type="pct"/>
            <w:gridSpan w:val="5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分組報告研究進度</w:t>
            </w:r>
          </w:p>
        </w:tc>
        <w:tc>
          <w:tcPr>
            <w:tcW w:w="675" w:type="pct"/>
            <w:vAlign w:val="center"/>
          </w:tcPr>
          <w:p w:rsidR="002B2503" w:rsidRPr="002B2503" w:rsidRDefault="002B2503" w:rsidP="002B2503">
            <w:pPr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2" w:type="pct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2B2503" w:rsidRPr="002121E6" w:rsidRDefault="002B2503" w:rsidP="002B2503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2B2503" w:rsidRPr="002121E6" w:rsidRDefault="002B2503" w:rsidP="002B2503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2B2503" w:rsidRPr="002121E6" w:rsidRDefault="002B2503" w:rsidP="002B250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2503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2B2503" w:rsidRPr="002121E6" w:rsidRDefault="002B2503" w:rsidP="002B2503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課堂參與</w:t>
            </w:r>
          </w:p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期末成果發表</w:t>
            </w:r>
          </w:p>
          <w:p w:rsidR="002B2503" w:rsidRPr="002121E6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書面報告</w:t>
            </w:r>
          </w:p>
        </w:tc>
      </w:tr>
      <w:tr w:rsidR="002B2503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2B2503" w:rsidRPr="002121E6" w:rsidRDefault="002B2503" w:rsidP="002B2503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2B2503" w:rsidRPr="002121E6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投影機、電腦</w:t>
            </w:r>
          </w:p>
        </w:tc>
      </w:tr>
      <w:tr w:rsidR="002B2503" w:rsidRPr="002121E6" w:rsidTr="007A614C">
        <w:trPr>
          <w:cantSplit/>
          <w:trHeight w:val="487"/>
          <w:jc w:val="center"/>
        </w:trPr>
        <w:tc>
          <w:tcPr>
            <w:tcW w:w="774" w:type="pct"/>
            <w:vAlign w:val="center"/>
          </w:tcPr>
          <w:p w:rsidR="002B2503" w:rsidRPr="002121E6" w:rsidRDefault="002B2503" w:rsidP="002B2503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教學方法</w:t>
            </w:r>
          </w:p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 xml:space="preserve">1、實作教學法 </w:t>
            </w:r>
          </w:p>
          <w:p w:rsidR="002B2503" w:rsidRPr="002B2503" w:rsidRDefault="002B2503" w:rsidP="002B2503">
            <w:pPr>
              <w:snapToGrid w:val="0"/>
              <w:rPr>
                <w:rFonts w:ascii="標楷體" w:eastAsia="標楷體" w:hAnsi="標楷體" w:hint="eastAsia"/>
              </w:rPr>
            </w:pPr>
            <w:r w:rsidRPr="002B2503">
              <w:rPr>
                <w:rFonts w:ascii="標楷體" w:eastAsia="標楷體" w:hAnsi="標楷體" w:hint="eastAsia"/>
              </w:rPr>
              <w:t>2、協同教學法</w:t>
            </w:r>
          </w:p>
          <w:p w:rsidR="002B2503" w:rsidRPr="002121E6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 w:rsidRPr="002B2503">
              <w:rPr>
                <w:rFonts w:ascii="標楷體" w:eastAsia="標楷體" w:hAnsi="標楷體" w:hint="eastAsia"/>
              </w:rPr>
              <w:t>3、合作學習法</w:t>
            </w:r>
          </w:p>
        </w:tc>
      </w:tr>
      <w:tr w:rsidR="002B2503" w:rsidRPr="00DB0402" w:rsidTr="007A614C">
        <w:trPr>
          <w:cantSplit/>
          <w:trHeight w:val="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03" w:rsidRPr="002121E6" w:rsidRDefault="002B2503" w:rsidP="002B2503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3" w:rsidRPr="00DB0402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cs="Wingdings 2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2B2503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03" w:rsidRPr="00DB0402" w:rsidRDefault="002B2503" w:rsidP="002B25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3" w:rsidRPr="00DB0402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2B2503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03" w:rsidRPr="00DB0402" w:rsidRDefault="002B2503" w:rsidP="002B25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3" w:rsidRPr="00DB0402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大眾傳播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外語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新細明體" w:hAnsi="新細明體" w:cs="Wingdings 2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文史哲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cs="Wingdings 2" w:hint="eastAsia"/>
              </w:rPr>
              <w:t>■</w:t>
            </w:r>
            <w:bookmarkStart w:id="0" w:name="_GoBack"/>
            <w:bookmarkEnd w:id="0"/>
            <w:r w:rsidRPr="00DB0402">
              <w:rPr>
                <w:rFonts w:ascii="標楷體" w:eastAsia="標楷體" w:hAnsi="標楷體" w:hint="eastAsia"/>
              </w:rPr>
              <w:t>教育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新細明體" w:hAnsi="新細明體" w:cs="Wingdings 2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2B2503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03" w:rsidRPr="00DB0402" w:rsidRDefault="002B2503" w:rsidP="002B25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3" w:rsidRPr="00DB0402" w:rsidRDefault="002B2503" w:rsidP="002B25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cs="Wingdings 2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新細明體" w:hAnsi="新細明體" w:cs="Wingdings 2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03" w:rsidRDefault="005C7E03" w:rsidP="00F50050">
      <w:r>
        <w:separator/>
      </w:r>
    </w:p>
  </w:endnote>
  <w:endnote w:type="continuationSeparator" w:id="0">
    <w:p w:rsidR="005C7E03" w:rsidRDefault="005C7E03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03" w:rsidRDefault="005C7E03" w:rsidP="00F50050">
      <w:r>
        <w:separator/>
      </w:r>
    </w:p>
  </w:footnote>
  <w:footnote w:type="continuationSeparator" w:id="0">
    <w:p w:rsidR="005C7E03" w:rsidRDefault="005C7E03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33F1A"/>
    <w:rsid w:val="00051644"/>
    <w:rsid w:val="0006799F"/>
    <w:rsid w:val="00086A3B"/>
    <w:rsid w:val="002611A4"/>
    <w:rsid w:val="002B2503"/>
    <w:rsid w:val="00367D30"/>
    <w:rsid w:val="003B4211"/>
    <w:rsid w:val="003D170F"/>
    <w:rsid w:val="004C3355"/>
    <w:rsid w:val="00592EB7"/>
    <w:rsid w:val="005C7E03"/>
    <w:rsid w:val="007A614C"/>
    <w:rsid w:val="008454B1"/>
    <w:rsid w:val="008C70C2"/>
    <w:rsid w:val="00B474E8"/>
    <w:rsid w:val="00D064D1"/>
    <w:rsid w:val="00D47AA6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2020-12-23T06:35:00Z</dcterms:created>
  <dcterms:modified xsi:type="dcterms:W3CDTF">2020-12-23T06:40:00Z</dcterms:modified>
</cp:coreProperties>
</file>