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B5B91" w:rsidRDefault="002B5B91" w:rsidP="00CB33CC">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AD208D">
        <w:rPr>
          <w:rFonts w:ascii="標楷體" w:eastAsia="標楷體" w:hAnsi="標楷體" w:cs="標楷體" w:hint="eastAsia"/>
          <w:b/>
          <w:sz w:val="28"/>
          <w:szCs w:val="28"/>
        </w:rPr>
        <w:t>石碇高中</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109</w:t>
      </w:r>
      <w:r w:rsidR="007C3769">
        <w:rPr>
          <w:rFonts w:ascii="標楷體" w:eastAsia="標楷體" w:hAnsi="標楷體" w:cs="標楷體" w:hint="eastAsia"/>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r w:rsidR="006005E6">
        <w:rPr>
          <w:rFonts w:ascii="標楷體" w:eastAsia="標楷體" w:hAnsi="標楷體" w:cs="標楷體" w:hint="eastAsia"/>
          <w:b/>
          <w:sz w:val="28"/>
          <w:szCs w:val="28"/>
          <w:u w:val="single"/>
        </w:rPr>
        <w:t>一</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4209CA">
        <w:rPr>
          <w:rFonts w:ascii="標楷體" w:eastAsia="標楷體" w:hAnsi="標楷體" w:cs="標楷體" w:hint="eastAsia"/>
          <w:b/>
          <w:sz w:val="28"/>
          <w:szCs w:val="28"/>
          <w:u w:val="single"/>
        </w:rPr>
        <w:t xml:space="preserve">七 </w:t>
      </w:r>
      <w:r w:rsidR="004209CA" w:rsidRPr="001E290D">
        <w:rPr>
          <w:rFonts w:ascii="標楷體" w:eastAsia="標楷體" w:hAnsi="標楷體" w:cs="標楷體"/>
          <w:b/>
          <w:sz w:val="28"/>
          <w:szCs w:val="28"/>
        </w:rPr>
        <w:t>年級</w:t>
      </w:r>
      <w:r w:rsidR="004209CA">
        <w:rPr>
          <w:rFonts w:ascii="標楷體" w:eastAsia="標楷體" w:hAnsi="標楷體" w:cs="標楷體" w:hint="eastAsia"/>
          <w:b/>
          <w:sz w:val="28"/>
          <w:szCs w:val="28"/>
        </w:rPr>
        <w:t>社會領域</w:t>
      </w:r>
      <w:r w:rsidR="00740E60">
        <w:rPr>
          <w:rFonts w:ascii="標楷體" w:eastAsia="標楷體" w:hAnsi="標楷體" w:cs="標楷體" w:hint="eastAsia"/>
          <w:b/>
          <w:sz w:val="28"/>
          <w:szCs w:val="28"/>
          <w:u w:val="single"/>
        </w:rPr>
        <w:t xml:space="preserve">歷史科 </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AD208D">
        <w:rPr>
          <w:rFonts w:ascii="標楷體" w:eastAsia="標楷體" w:hAnsi="標楷體" w:cs="標楷體" w:hint="eastAsia"/>
          <w:b/>
          <w:sz w:val="28"/>
          <w:szCs w:val="28"/>
          <w:u w:val="single"/>
        </w:rPr>
        <w:t>吳蜀彭</w:t>
      </w:r>
      <w:r w:rsidR="004209CA">
        <w:rPr>
          <w:rFonts w:ascii="標楷體" w:eastAsia="標楷體" w:hAnsi="標楷體" w:cs="標楷體" w:hint="eastAsia"/>
          <w:b/>
          <w:sz w:val="28"/>
          <w:szCs w:val="28"/>
          <w:u w:val="single"/>
        </w:rPr>
        <w:t>老師</w:t>
      </w:r>
      <w:bookmarkStart w:id="0" w:name="_GoBack"/>
      <w:bookmarkEnd w:id="0"/>
    </w:p>
    <w:p w:rsidR="003939AB" w:rsidRPr="004209CA"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C80FA1"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CB691E"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CB691E">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1218DF" w:rsidRPr="001218DF">
        <w:rPr>
          <w:rFonts w:ascii="標楷體" w:eastAsia="標楷體" w:hAnsi="標楷體" w:cs="標楷體" w:hint="eastAsia"/>
          <w:sz w:val="24"/>
          <w:szCs w:val="24"/>
        </w:rPr>
        <w:t>每週</w:t>
      </w:r>
      <w:r w:rsidR="002A68DA">
        <w:rPr>
          <w:rFonts w:ascii="標楷體" w:eastAsia="標楷體" w:hAnsi="標楷體" w:cs="標楷體" w:hint="eastAsia"/>
          <w:sz w:val="24"/>
          <w:szCs w:val="24"/>
        </w:rPr>
        <w:t>1</w:t>
      </w:r>
      <w:r w:rsidR="001218DF" w:rsidRPr="001218DF">
        <w:rPr>
          <w:rFonts w:ascii="標楷體" w:eastAsia="標楷體" w:hAnsi="標楷體" w:cs="標楷體" w:hint="eastAsia"/>
          <w:sz w:val="24"/>
          <w:szCs w:val="24"/>
        </w:rPr>
        <w:t>節</w:t>
      </w:r>
      <w:r w:rsidR="002A68DA" w:rsidRPr="00504BCC">
        <w:rPr>
          <w:rFonts w:ascii="標楷體" w:eastAsia="標楷體" w:hAnsi="標楷體" w:cs="標楷體"/>
          <w:sz w:val="24"/>
          <w:szCs w:val="24"/>
          <w:u w:val="single"/>
        </w:rPr>
        <w:t xml:space="preserve"> </w:t>
      </w:r>
    </w:p>
    <w:p w:rsidR="00D53BDD" w:rsidRPr="00504BCC" w:rsidRDefault="00D53BDD" w:rsidP="002026C7">
      <w:pPr>
        <w:pBdr>
          <w:top w:val="nil"/>
          <w:left w:val="nil"/>
          <w:bottom w:val="nil"/>
          <w:right w:val="nil"/>
          <w:between w:val="nil"/>
        </w:pBdr>
        <w:spacing w:line="360" w:lineRule="auto"/>
        <w:rPr>
          <w:rFonts w:ascii="標楷體" w:eastAsia="標楷體" w:hAnsi="標楷體" w:cs="標楷體"/>
          <w:sz w:val="24"/>
          <w:szCs w:val="24"/>
          <w:u w:val="single"/>
        </w:rPr>
      </w:pPr>
      <w:r>
        <w:rPr>
          <w:rFonts w:ascii="標楷體" w:eastAsia="標楷體" w:hAnsi="標楷體" w:cs="標楷體" w:hint="eastAsia"/>
          <w:sz w:val="24"/>
          <w:szCs w:val="24"/>
          <w:u w:val="single"/>
        </w:rPr>
        <w:t>三</w:t>
      </w:r>
      <w:r w:rsidRPr="00504BCC">
        <w:rPr>
          <w:rFonts w:ascii="標楷體" w:eastAsia="標楷體" w:hAnsi="標楷體" w:cs="標楷體" w:hint="eastAsia"/>
          <w:sz w:val="24"/>
          <w:szCs w:val="24"/>
        </w:rPr>
        <w:t>、</w:t>
      </w:r>
      <w:r>
        <w:rPr>
          <w:rFonts w:ascii="標楷體" w:eastAsia="標楷體" w:hAnsi="標楷體" w:cs="標楷體" w:hint="eastAsia"/>
          <w:sz w:val="24"/>
          <w:szCs w:val="24"/>
        </w:rPr>
        <w:t>使用版本:翰林版社會第一冊</w:t>
      </w: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8C40E2" w:rsidRPr="008F16B4" w:rsidTr="00526E70">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8C40E2" w:rsidRPr="00434C48" w:rsidRDefault="008C40E2" w:rsidP="00526E70">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8C40E2" w:rsidRPr="008F16B4" w:rsidTr="00526E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rsidR="007C3769" w:rsidRDefault="007C3769"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A3</w:t>
            </w:r>
            <w:r w:rsidR="007C3769">
              <w:rPr>
                <w:rFonts w:ascii="標楷體" w:eastAsia="標楷體" w:hAnsi="標楷體" w:hint="eastAsia"/>
                <w:color w:val="auto"/>
                <w:sz w:val="24"/>
                <w:szCs w:val="24"/>
              </w:rPr>
              <w:t>規劃執行</w:t>
            </w:r>
            <w:r w:rsidR="007C3769">
              <w:rPr>
                <w:rFonts w:ascii="標楷體" w:eastAsia="標楷體" w:hAnsi="標楷體" w:cs="新細明體" w:hint="eastAsia"/>
                <w:color w:val="auto"/>
                <w:sz w:val="24"/>
                <w:szCs w:val="24"/>
              </w:rPr>
              <w:t>與創新應變</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B1</w:t>
            </w:r>
            <w:r w:rsidR="007C3769">
              <w:rPr>
                <w:rFonts w:ascii="標楷體" w:eastAsia="標楷體" w:hAnsi="標楷體" w:hint="eastAsia"/>
                <w:color w:val="auto"/>
                <w:sz w:val="24"/>
                <w:szCs w:val="24"/>
              </w:rPr>
              <w:t>符號運用</w:t>
            </w:r>
            <w:r w:rsidR="007C3769">
              <w:rPr>
                <w:rFonts w:ascii="標楷體" w:eastAsia="標楷體" w:hAnsi="標楷體" w:cs="新細明體" w:hint="eastAsia"/>
                <w:color w:val="auto"/>
                <w:sz w:val="24"/>
                <w:szCs w:val="24"/>
              </w:rPr>
              <w:t>與溝通表達</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B2</w:t>
            </w:r>
            <w:r w:rsidR="007C3769">
              <w:rPr>
                <w:rFonts w:ascii="標楷體" w:eastAsia="標楷體" w:hAnsi="標楷體" w:hint="eastAsia"/>
                <w:color w:val="auto"/>
                <w:sz w:val="24"/>
                <w:szCs w:val="24"/>
              </w:rPr>
              <w:t>科技資訊</w:t>
            </w:r>
            <w:r w:rsidR="007C3769">
              <w:rPr>
                <w:rFonts w:ascii="標楷體" w:eastAsia="標楷體" w:hAnsi="標楷體" w:cs="新細明體" w:hint="eastAsia"/>
                <w:color w:val="auto"/>
                <w:sz w:val="24"/>
                <w:szCs w:val="24"/>
              </w:rPr>
              <w:t>與媒體素養</w:t>
            </w:r>
          </w:p>
          <w:p w:rsidR="007C3769" w:rsidRDefault="00CB691E"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B3</w:t>
            </w:r>
            <w:r w:rsidR="007C3769">
              <w:rPr>
                <w:rFonts w:ascii="標楷體" w:eastAsia="標楷體" w:hAnsi="標楷體" w:hint="eastAsia"/>
                <w:color w:val="auto"/>
                <w:sz w:val="24"/>
                <w:szCs w:val="24"/>
              </w:rPr>
              <w:t>藝術涵養</w:t>
            </w:r>
            <w:r w:rsidR="007C3769">
              <w:rPr>
                <w:rFonts w:ascii="標楷體" w:eastAsia="標楷體" w:hAnsi="標楷體" w:cs="新細明體" w:hint="eastAsia"/>
                <w:color w:val="auto"/>
                <w:sz w:val="24"/>
                <w:szCs w:val="24"/>
              </w:rPr>
              <w:t>與美感素養</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C1</w:t>
            </w:r>
            <w:r w:rsidR="007C3769">
              <w:rPr>
                <w:rFonts w:ascii="標楷體" w:eastAsia="標楷體" w:hAnsi="標楷體" w:hint="eastAsia"/>
                <w:color w:val="auto"/>
                <w:sz w:val="24"/>
                <w:szCs w:val="24"/>
              </w:rPr>
              <w:t>道德實踐</w:t>
            </w:r>
            <w:r w:rsidR="007C3769">
              <w:rPr>
                <w:rFonts w:ascii="標楷體" w:eastAsia="標楷體" w:hAnsi="標楷體" w:cs="新細明體" w:hint="eastAsia"/>
                <w:color w:val="auto"/>
                <w:sz w:val="24"/>
                <w:szCs w:val="24"/>
              </w:rPr>
              <w:t>與公民意識</w:t>
            </w:r>
          </w:p>
          <w:p w:rsidR="007C3769" w:rsidRDefault="00DE67E2" w:rsidP="007C376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C2</w:t>
            </w:r>
            <w:r w:rsidR="007C3769">
              <w:rPr>
                <w:rFonts w:ascii="標楷體" w:eastAsia="標楷體" w:hAnsi="標楷體" w:hint="eastAsia"/>
                <w:color w:val="auto"/>
                <w:sz w:val="24"/>
                <w:szCs w:val="24"/>
              </w:rPr>
              <w:t>人際關係</w:t>
            </w:r>
            <w:r w:rsidR="007C3769">
              <w:rPr>
                <w:rFonts w:ascii="標楷體" w:eastAsia="標楷體" w:hAnsi="標楷體" w:cs="新細明體" w:hint="eastAsia"/>
                <w:color w:val="auto"/>
                <w:sz w:val="24"/>
                <w:szCs w:val="24"/>
              </w:rPr>
              <w:t>與團隊合作</w:t>
            </w:r>
          </w:p>
          <w:p w:rsidR="008C40E2" w:rsidRPr="00BC3E0D" w:rsidRDefault="00CB691E" w:rsidP="007C3769">
            <w:pPr>
              <w:autoSpaceDE w:val="0"/>
              <w:autoSpaceDN w:val="0"/>
              <w:adjustRightInd w:val="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7C3769">
              <w:rPr>
                <w:rFonts w:ascii="標楷體" w:eastAsia="標楷體" w:hAnsi="標楷體" w:cs="新細明體" w:hint="eastAsia"/>
                <w:b/>
                <w:color w:val="auto"/>
                <w:sz w:val="24"/>
                <w:szCs w:val="24"/>
              </w:rPr>
              <w:t xml:space="preserve"> </w:t>
            </w:r>
            <w:r w:rsidR="007C3769">
              <w:rPr>
                <w:rFonts w:ascii="標楷體" w:eastAsia="標楷體" w:hAnsi="標楷體" w:cs="新細明體" w:hint="eastAsia"/>
                <w:color w:val="auto"/>
                <w:sz w:val="24"/>
                <w:szCs w:val="24"/>
              </w:rPr>
              <w:t>C3</w:t>
            </w:r>
            <w:r w:rsidR="007C3769">
              <w:rPr>
                <w:rFonts w:ascii="標楷體" w:eastAsia="標楷體" w:hAnsi="標楷體" w:hint="eastAsia"/>
                <w:color w:val="auto"/>
                <w:sz w:val="24"/>
                <w:szCs w:val="24"/>
              </w:rPr>
              <w:t>多元文化</w:t>
            </w:r>
            <w:r w:rsidR="007C3769">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656F37" w:rsidRDefault="00333420">
            <w:r>
              <w:rPr>
                <w:rFonts w:ascii="標楷體" w:eastAsia="標楷體" w:hAnsi="標楷體"/>
                <w:color w:val="auto"/>
                <w:sz w:val="24"/>
                <w:szCs w:val="24"/>
                <w:shd w:val="clear" w:color="auto" w:fill="FFFFFF"/>
              </w:rPr>
              <w:t>社-J-A1 探索自我潛能、自我價值與生命意義，培育合宜的人生觀。</w:t>
            </w:r>
          </w:p>
          <w:p w:rsidR="00656F37" w:rsidRDefault="00333420">
            <w:r>
              <w:rPr>
                <w:rFonts w:ascii="標楷體" w:eastAsia="標楷體" w:hAnsi="標楷體"/>
                <w:color w:val="auto"/>
                <w:sz w:val="24"/>
                <w:szCs w:val="24"/>
                <w:shd w:val="clear" w:color="auto" w:fill="FFFFFF"/>
              </w:rPr>
              <w:t>社-J-A2 覺察人類生活相關議題，進而分析判斷及反思，並嘗試改善或解決問題。</w:t>
            </w:r>
          </w:p>
          <w:p w:rsidR="00656F37" w:rsidRDefault="00333420">
            <w:r>
              <w:rPr>
                <w:rFonts w:ascii="標楷體" w:eastAsia="標楷體" w:hAnsi="標楷體"/>
                <w:color w:val="auto"/>
                <w:sz w:val="24"/>
                <w:szCs w:val="24"/>
                <w:shd w:val="clear" w:color="auto" w:fill="FFFFFF"/>
              </w:rPr>
              <w:t>社-J-A3 主動學習與探究人類生活相關議題，善用資源並規劃相對應的行動方案及創新突破的可能性。</w:t>
            </w:r>
          </w:p>
          <w:p w:rsidR="00656F37" w:rsidRDefault="00333420">
            <w:r>
              <w:rPr>
                <w:rFonts w:ascii="標楷體" w:eastAsia="標楷體" w:hAnsi="標楷體"/>
                <w:color w:val="auto"/>
                <w:sz w:val="24"/>
                <w:szCs w:val="24"/>
                <w:shd w:val="clear" w:color="auto" w:fill="FFFFFF"/>
              </w:rPr>
              <w:t>社-J-B1 運用文字、語言、表格與圖像等表徵符號，表達人類生活的豐富面貌，並能促進相互溝通與理解。</w:t>
            </w:r>
          </w:p>
          <w:p w:rsidR="00656F37" w:rsidRDefault="00333420">
            <w:r>
              <w:rPr>
                <w:rFonts w:ascii="標楷體" w:eastAsia="標楷體" w:hAnsi="標楷體"/>
                <w:color w:val="auto"/>
                <w:sz w:val="24"/>
                <w:szCs w:val="24"/>
                <w:shd w:val="clear" w:color="auto" w:fill="FFFFFF"/>
              </w:rPr>
              <w:t>社-J-B2 理解不同時空的科技與媒體發展和應用，增進媒體識讀能力，並思辨其在生活中可能帶來的衝突與影響。</w:t>
            </w:r>
          </w:p>
          <w:p w:rsidR="00656F37" w:rsidRDefault="00333420">
            <w:r>
              <w:rPr>
                <w:rFonts w:ascii="標楷體" w:eastAsia="標楷體" w:hAnsi="標楷體"/>
                <w:color w:val="auto"/>
                <w:sz w:val="24"/>
                <w:szCs w:val="24"/>
                <w:shd w:val="clear" w:color="auto" w:fill="FFFFFF"/>
              </w:rPr>
              <w:t>社-J-B3 欣賞不同時空環境下形塑的自然、族群與文化之美，增進生活的豐富性。</w:t>
            </w:r>
          </w:p>
          <w:p w:rsidR="00656F37" w:rsidRDefault="00333420">
            <w:r>
              <w:rPr>
                <w:rFonts w:ascii="標楷體" w:eastAsia="標楷體" w:hAnsi="標楷體"/>
                <w:color w:val="auto"/>
                <w:sz w:val="24"/>
                <w:szCs w:val="24"/>
                <w:shd w:val="clear" w:color="auto" w:fill="FFFFFF"/>
              </w:rPr>
              <w:t>社-J-C3 尊重並欣賞各族群文化的多樣性，了解文化間的相互關聯，以及臺灣與國際社會的互動關係。</w:t>
            </w:r>
          </w:p>
        </w:tc>
      </w:tr>
    </w:tbl>
    <w:p w:rsidR="00CB33CC" w:rsidRDefault="00CB33CC" w:rsidP="00CB33CC">
      <w:pPr>
        <w:pBdr>
          <w:top w:val="nil"/>
          <w:left w:val="nil"/>
          <w:bottom w:val="nil"/>
          <w:right w:val="nil"/>
          <w:between w:val="nil"/>
        </w:pBdr>
        <w:spacing w:line="360" w:lineRule="auto"/>
        <w:rPr>
          <w:rFonts w:ascii="標楷體" w:eastAsia="標楷體" w:hAnsi="標楷體" w:cs="標楷體"/>
          <w:sz w:val="24"/>
          <w:szCs w:val="24"/>
        </w:rPr>
      </w:pPr>
    </w:p>
    <w:p w:rsidR="00D37619" w:rsidRPr="00C453F2" w:rsidRDefault="00CB33CC" w:rsidP="00CB33CC">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902CB0">
        <w:rPr>
          <w:rFonts w:ascii="標楷體" w:eastAsia="標楷體" w:hAnsi="標楷體" w:cs="標楷體"/>
          <w:sz w:val="24"/>
          <w:szCs w:val="24"/>
        </w:rPr>
        <w:t>素養導向教學規劃：</w:t>
      </w:r>
    </w:p>
    <w:tbl>
      <w:tblPr>
        <w:tblW w:w="14370" w:type="dxa"/>
        <w:jc w:val="center"/>
        <w:tblBorders>
          <w:top w:val="nil"/>
          <w:left w:val="nil"/>
          <w:bottom w:val="nil"/>
          <w:right w:val="nil"/>
          <w:insideH w:val="nil"/>
          <w:insideV w:val="nil"/>
        </w:tblBorders>
        <w:tblLayout w:type="fixed"/>
        <w:tblLook w:val="0600" w:firstRow="0" w:lastRow="0" w:firstColumn="0" w:lastColumn="0" w:noHBand="1" w:noVBand="1"/>
      </w:tblPr>
      <w:tblGrid>
        <w:gridCol w:w="1245"/>
        <w:gridCol w:w="1349"/>
        <w:gridCol w:w="1771"/>
        <w:gridCol w:w="4040"/>
        <w:gridCol w:w="1276"/>
        <w:gridCol w:w="1346"/>
        <w:gridCol w:w="1914"/>
        <w:gridCol w:w="1429"/>
      </w:tblGrid>
      <w:tr w:rsidR="002A68DA" w:rsidRPr="008F16B4" w:rsidTr="00597982">
        <w:trPr>
          <w:trHeight w:val="360"/>
          <w:jc w:val="center"/>
        </w:trPr>
        <w:tc>
          <w:tcPr>
            <w:tcW w:w="1245" w:type="dxa"/>
            <w:vMerge w:val="restart"/>
            <w:tcBorders>
              <w:top w:val="single" w:sz="8" w:space="0" w:color="000000"/>
              <w:left w:val="single" w:sz="8" w:space="0" w:color="000000"/>
              <w:right w:val="single" w:sz="8" w:space="0" w:color="000000"/>
            </w:tcBorders>
            <w:vAlign w:val="center"/>
          </w:tcPr>
          <w:p w:rsidR="002A68DA" w:rsidRPr="002026C7" w:rsidRDefault="002A68DA"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20" w:type="dxa"/>
            <w:gridSpan w:val="2"/>
            <w:tcBorders>
              <w:top w:val="single" w:sz="8" w:space="0" w:color="000000"/>
              <w:left w:val="single" w:sz="8" w:space="0" w:color="000000"/>
              <w:bottom w:val="single" w:sz="4" w:space="0" w:color="auto"/>
              <w:right w:val="single" w:sz="8" w:space="0" w:color="000000"/>
            </w:tcBorders>
            <w:vAlign w:val="center"/>
          </w:tcPr>
          <w:p w:rsidR="002A68DA" w:rsidRPr="001460C3" w:rsidRDefault="002A68DA" w:rsidP="00030AE3">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hint="eastAsia"/>
                <w:color w:val="auto"/>
                <w:sz w:val="24"/>
                <w:szCs w:val="24"/>
              </w:rPr>
              <w:t>學習重點</w:t>
            </w:r>
          </w:p>
        </w:tc>
        <w:tc>
          <w:tcPr>
            <w:tcW w:w="4040" w:type="dxa"/>
            <w:vMerge w:val="restart"/>
            <w:tcBorders>
              <w:top w:val="single" w:sz="8" w:space="0" w:color="000000"/>
              <w:right w:val="single" w:sz="8" w:space="0" w:color="000000"/>
            </w:tcBorders>
            <w:tcMar>
              <w:top w:w="100" w:type="dxa"/>
              <w:left w:w="20" w:type="dxa"/>
              <w:bottom w:w="100" w:type="dxa"/>
              <w:right w:w="20" w:type="dxa"/>
            </w:tcMar>
            <w:vAlign w:val="center"/>
          </w:tcPr>
          <w:p w:rsidR="002A68DA" w:rsidRPr="002026C7" w:rsidRDefault="002A68DA"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2A68DA" w:rsidRPr="002026C7" w:rsidRDefault="002A68DA" w:rsidP="002A68DA">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w:t>
            </w:r>
          </w:p>
        </w:tc>
        <w:tc>
          <w:tcPr>
            <w:tcW w:w="1346" w:type="dxa"/>
            <w:vMerge w:val="restart"/>
            <w:tcBorders>
              <w:top w:val="single" w:sz="8" w:space="0" w:color="000000"/>
              <w:right w:val="single" w:sz="8" w:space="0" w:color="000000"/>
            </w:tcBorders>
            <w:tcMar>
              <w:top w:w="100" w:type="dxa"/>
              <w:left w:w="20" w:type="dxa"/>
              <w:bottom w:w="100" w:type="dxa"/>
              <w:right w:w="20" w:type="dxa"/>
            </w:tcMar>
            <w:vAlign w:val="center"/>
          </w:tcPr>
          <w:p w:rsidR="002A68DA" w:rsidRPr="002026C7" w:rsidRDefault="002A68DA"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914" w:type="dxa"/>
            <w:vMerge w:val="restart"/>
            <w:tcBorders>
              <w:top w:val="single" w:sz="8" w:space="0" w:color="000000"/>
              <w:right w:val="single" w:sz="8" w:space="0" w:color="000000"/>
            </w:tcBorders>
            <w:tcMar>
              <w:top w:w="100" w:type="dxa"/>
              <w:left w:w="20" w:type="dxa"/>
              <w:bottom w:w="100" w:type="dxa"/>
              <w:right w:w="20" w:type="dxa"/>
            </w:tcMar>
            <w:vAlign w:val="center"/>
          </w:tcPr>
          <w:p w:rsidR="002A68DA" w:rsidRPr="002026C7" w:rsidRDefault="002A68DA"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429" w:type="dxa"/>
            <w:vMerge w:val="restart"/>
            <w:tcBorders>
              <w:top w:val="single" w:sz="8" w:space="0" w:color="000000"/>
              <w:right w:val="single" w:sz="8" w:space="0" w:color="000000"/>
            </w:tcBorders>
            <w:vAlign w:val="center"/>
          </w:tcPr>
          <w:p w:rsidR="002A68DA" w:rsidRPr="002026C7" w:rsidRDefault="002A68DA"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2A68DA" w:rsidRPr="008F16B4" w:rsidTr="00597982">
        <w:trPr>
          <w:trHeight w:val="675"/>
          <w:jc w:val="center"/>
        </w:trPr>
        <w:tc>
          <w:tcPr>
            <w:tcW w:w="1245" w:type="dxa"/>
            <w:vMerge/>
            <w:tcBorders>
              <w:left w:val="single" w:sz="8" w:space="0" w:color="000000"/>
              <w:right w:val="single" w:sz="8" w:space="0" w:color="000000"/>
            </w:tcBorders>
            <w:vAlign w:val="center"/>
          </w:tcPr>
          <w:p w:rsidR="002A68DA" w:rsidRPr="002026C7" w:rsidRDefault="002A68DA" w:rsidP="00E655FD">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349" w:type="dxa"/>
            <w:tcBorders>
              <w:top w:val="single" w:sz="4" w:space="0" w:color="auto"/>
              <w:left w:val="single" w:sz="8" w:space="0" w:color="000000"/>
              <w:right w:val="single" w:sz="8" w:space="0" w:color="000000"/>
            </w:tcBorders>
            <w:vAlign w:val="center"/>
          </w:tcPr>
          <w:p w:rsidR="002A68DA" w:rsidRDefault="002A68DA"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學習內容</w:t>
            </w:r>
          </w:p>
        </w:tc>
        <w:tc>
          <w:tcPr>
            <w:tcW w:w="1771" w:type="dxa"/>
            <w:tcBorders>
              <w:top w:val="single" w:sz="4" w:space="0" w:color="auto"/>
              <w:left w:val="single" w:sz="8" w:space="0" w:color="000000"/>
              <w:right w:val="single" w:sz="8" w:space="0" w:color="000000"/>
            </w:tcBorders>
            <w:vAlign w:val="center"/>
          </w:tcPr>
          <w:p w:rsidR="002A68DA" w:rsidRPr="001460C3" w:rsidRDefault="002A68DA" w:rsidP="00030AE3">
            <w:pPr>
              <w:pBdr>
                <w:top w:val="nil"/>
                <w:left w:val="nil"/>
                <w:bottom w:val="nil"/>
                <w:right w:val="nil"/>
                <w:between w:val="nil"/>
              </w:pBdr>
              <w:spacing w:line="240" w:lineRule="atLeast"/>
              <w:jc w:val="center"/>
              <w:rPr>
                <w:rFonts w:ascii="標楷體" w:eastAsia="標楷體" w:hAnsi="標楷體"/>
                <w:color w:val="auto"/>
                <w:sz w:val="24"/>
                <w:szCs w:val="24"/>
              </w:rPr>
            </w:pPr>
            <w:r w:rsidRPr="001460C3">
              <w:rPr>
                <w:rFonts w:ascii="標楷體" w:eastAsia="標楷體" w:hAnsi="標楷體" w:hint="eastAsia"/>
                <w:color w:val="auto"/>
                <w:sz w:val="24"/>
                <w:szCs w:val="24"/>
              </w:rPr>
              <w:t>學習表現</w:t>
            </w:r>
          </w:p>
        </w:tc>
        <w:tc>
          <w:tcPr>
            <w:tcW w:w="4040" w:type="dxa"/>
            <w:vMerge/>
            <w:tcBorders>
              <w:right w:val="single" w:sz="8" w:space="0" w:color="000000"/>
            </w:tcBorders>
            <w:tcMar>
              <w:top w:w="100" w:type="dxa"/>
              <w:left w:w="20" w:type="dxa"/>
              <w:bottom w:w="100" w:type="dxa"/>
              <w:right w:w="20" w:type="dxa"/>
            </w:tcMar>
            <w:vAlign w:val="center"/>
          </w:tcPr>
          <w:p w:rsidR="002A68DA" w:rsidRPr="002026C7" w:rsidRDefault="002A68DA"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right w:val="single" w:sz="8" w:space="0" w:color="000000"/>
            </w:tcBorders>
            <w:tcMar>
              <w:top w:w="100" w:type="dxa"/>
              <w:left w:w="20" w:type="dxa"/>
              <w:bottom w:w="100" w:type="dxa"/>
              <w:right w:w="20" w:type="dxa"/>
            </w:tcMar>
            <w:vAlign w:val="center"/>
          </w:tcPr>
          <w:p w:rsidR="002A68DA" w:rsidRPr="002026C7" w:rsidRDefault="002A68DA"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346" w:type="dxa"/>
            <w:vMerge/>
            <w:tcBorders>
              <w:right w:val="single" w:sz="8" w:space="0" w:color="000000"/>
            </w:tcBorders>
            <w:tcMar>
              <w:top w:w="100" w:type="dxa"/>
              <w:left w:w="20" w:type="dxa"/>
              <w:bottom w:w="100" w:type="dxa"/>
              <w:right w:w="20" w:type="dxa"/>
            </w:tcMar>
            <w:vAlign w:val="center"/>
          </w:tcPr>
          <w:p w:rsidR="002A68DA" w:rsidRPr="002026C7" w:rsidRDefault="002A68DA"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914" w:type="dxa"/>
            <w:vMerge/>
            <w:tcBorders>
              <w:right w:val="single" w:sz="8" w:space="0" w:color="000000"/>
            </w:tcBorders>
            <w:tcMar>
              <w:top w:w="100" w:type="dxa"/>
              <w:left w:w="20" w:type="dxa"/>
              <w:bottom w:w="100" w:type="dxa"/>
              <w:right w:w="20" w:type="dxa"/>
            </w:tcMar>
            <w:vAlign w:val="center"/>
          </w:tcPr>
          <w:p w:rsidR="002A68DA" w:rsidRPr="002026C7" w:rsidRDefault="002A68DA"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29" w:type="dxa"/>
            <w:vMerge/>
            <w:tcBorders>
              <w:right w:val="single" w:sz="8" w:space="0" w:color="000000"/>
            </w:tcBorders>
            <w:vAlign w:val="center"/>
          </w:tcPr>
          <w:p w:rsidR="002A68DA" w:rsidRPr="002026C7" w:rsidRDefault="002A68DA"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第一週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8/31~9/4</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bCs/>
                <w:snapToGrid w:val="0"/>
                <w:color w:val="0000FF"/>
              </w:rPr>
            </w:pPr>
            <w:r w:rsidRPr="002E1B62">
              <w:rPr>
                <w:rFonts w:eastAsia="標楷體" w:hint="eastAsia"/>
                <w:bCs/>
                <w:snapToGrid w:val="0"/>
                <w:color w:val="auto"/>
              </w:rPr>
              <w:t>歷</w:t>
            </w:r>
            <w:r w:rsidRPr="002E1B62">
              <w:rPr>
                <w:rFonts w:eastAsia="標楷體" w:hint="eastAsia"/>
                <w:bCs/>
                <w:snapToGrid w:val="0"/>
                <w:color w:val="auto"/>
              </w:rPr>
              <w:t>A-IV-1</w:t>
            </w:r>
            <w:r>
              <w:rPr>
                <w:rFonts w:eastAsia="標楷體" w:hint="eastAsia"/>
                <w:bCs/>
                <w:snapToGrid w:val="0"/>
                <w:color w:val="auto"/>
              </w:rPr>
              <w:t xml:space="preserve"> </w:t>
            </w:r>
            <w:r w:rsidRPr="002E1B62">
              <w:rPr>
                <w:rFonts w:eastAsia="標楷體" w:hint="eastAsia"/>
                <w:bCs/>
                <w:snapToGrid w:val="0"/>
                <w:color w:val="auto"/>
              </w:rPr>
              <w:t>紀年與分期。</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社3b-IV-3</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聆聽他人意見，表達自我觀點，並能以同理心與他人討論。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歷1a-IV-1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理解以不同的紀年、歷史分期描述過去的意義。</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 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導言：歷史的基礎觀念</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1.說明學習歷史的重要性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2.何謂歷史，從區分歷史事實與歷史解釋的角度切入。</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3.比較古今中外歷史紀年方式：</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西元紀年、帝王紀年、干支紀年、民國紀年</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4.介紹歷史分期的方式：</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(1)臺灣史：依照文字的有無。</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(2)中國史：依照朝代的順序。</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(3)世界史：依照時代的發展。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1.簡報</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2.學習單</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3.影片</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【閱讀素養教育】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發展多元文本的閱讀策略。</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發展跨文本的比對、分析、深究的能力，以判讀文本知識的正確性。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第二週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9/7~9/11</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bCs/>
                <w:snapToGrid w:val="0"/>
              </w:rPr>
            </w:pPr>
            <w:r w:rsidRPr="002E1B62">
              <w:rPr>
                <w:rFonts w:eastAsia="標楷體" w:hint="eastAsia"/>
                <w:bCs/>
                <w:snapToGrid w:val="0"/>
                <w:color w:val="auto"/>
              </w:rPr>
              <w:t>歷</w:t>
            </w:r>
            <w:r w:rsidRPr="002E1B62">
              <w:rPr>
                <w:rFonts w:eastAsia="標楷體" w:hint="eastAsia"/>
                <w:bCs/>
                <w:snapToGrid w:val="0"/>
                <w:color w:val="auto"/>
              </w:rPr>
              <w:t>Ba-IV-1</w:t>
            </w:r>
            <w:r>
              <w:rPr>
                <w:rFonts w:eastAsia="標楷體" w:hint="eastAsia"/>
                <w:bCs/>
                <w:snapToGrid w:val="0"/>
                <w:color w:val="auto"/>
              </w:rPr>
              <w:t xml:space="preserve"> </w:t>
            </w:r>
            <w:r w:rsidRPr="002E1B62">
              <w:rPr>
                <w:rFonts w:eastAsia="標楷體" w:hint="eastAsia"/>
                <w:bCs/>
                <w:snapToGrid w:val="0"/>
                <w:color w:val="auto"/>
              </w:rPr>
              <w:t>考古發掘與史前文化。</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敏銳察覺人與環境的互動關係及其淵源。</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lastRenderedPageBreak/>
              <w:t>社2b-IV-2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尊重不同群體文化的差異性，並欣賞其文化之美。</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第二篇 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第一章 史前臺灣與原住民族文化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1.器物區分的臺灣史前文化分期：</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(1)舊石器時代</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(2)新石器時代</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(3)金屬器時代</w:t>
            </w:r>
          </w:p>
          <w:p w:rsidR="002A68DA" w:rsidRPr="002E1B62" w:rsidRDefault="002A68DA" w:rsidP="00793DAB">
            <w:pPr>
              <w:spacing w:line="260" w:lineRule="exact"/>
              <w:jc w:val="left"/>
              <w:rPr>
                <w:rFonts w:eastAsiaTheme="minorEastAsia"/>
                <w:bCs/>
                <w:snapToGrid w:val="0"/>
              </w:rPr>
            </w:pP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2.舊石器時代—長濱文化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(1)時間</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(2)地點</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(3)文化特色</w:t>
            </w:r>
          </w:p>
          <w:p w:rsidR="002A68DA" w:rsidRPr="002E1B62" w:rsidRDefault="002A68DA" w:rsidP="00793DAB">
            <w:pPr>
              <w:spacing w:line="260" w:lineRule="exact"/>
              <w:jc w:val="left"/>
              <w:rPr>
                <w:rFonts w:eastAsiaTheme="minorEastAsia"/>
                <w:bCs/>
                <w:snapToGrid w:val="0"/>
              </w:rPr>
            </w:pP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3.新石器時代的文化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(1)大坌坑文化的特色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(2)圓山文化的特色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(3)卑南文化的特色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(4)南關里遺址的特色</w:t>
            </w:r>
          </w:p>
          <w:p w:rsidR="002A68DA" w:rsidRPr="002E1B62" w:rsidRDefault="002A68DA" w:rsidP="00793DAB">
            <w:pPr>
              <w:spacing w:line="260" w:lineRule="exact"/>
              <w:jc w:val="left"/>
              <w:rPr>
                <w:rFonts w:eastAsiaTheme="minorEastAsia"/>
                <w:bCs/>
                <w:snapToGrid w:val="0"/>
              </w:rPr>
            </w:pPr>
          </w:p>
          <w:p w:rsidR="002A68DA"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4.新石器革命的意義，用以區分舊石器時代與新石器時代的差別。</w:t>
            </w:r>
          </w:p>
          <w:p w:rsidR="002A68DA" w:rsidRPr="005A200B" w:rsidRDefault="002A68DA" w:rsidP="00793DAB">
            <w:pPr>
              <w:spacing w:line="260" w:lineRule="exact"/>
              <w:jc w:val="left"/>
              <w:rPr>
                <w:rFonts w:eastAsiaTheme="minorEastAsia"/>
                <w:bCs/>
                <w:snapToGrid w:val="0"/>
              </w:rPr>
            </w:pP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5.金屬器時代的文化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(1)十三行文化的特色</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1.簡報</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2.學習單</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3.影片</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了解平等、正義的原則，並在生活中實踐。</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人J5</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了解社會上有不同的群體和文化，尊重並欣賞其差異。</w:t>
            </w:r>
          </w:p>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【海洋教育】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海J11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了解海洋民俗信仰與祭典之意義及其與社會發展之關</w:t>
            </w:r>
            <w:r w:rsidRPr="002E1B62">
              <w:rPr>
                <w:rFonts w:ascii="標楷體" w:eastAsia="標楷體" w:hAnsi="標楷體" w:cs="DFKaiShu-SB-Estd-BF" w:hint="eastAsia"/>
                <w:bCs/>
                <w:snapToGrid w:val="0"/>
                <w:color w:val="auto"/>
              </w:rPr>
              <w:lastRenderedPageBreak/>
              <w:t>係。</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海J13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探討海洋對陸上環境與生活的影響。</w:t>
            </w:r>
          </w:p>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【環境教育】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環J1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了解生物多樣性及環境承載力的重要性。</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第三週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9/14~9/18</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bCs/>
                <w:snapToGrid w:val="0"/>
              </w:rPr>
            </w:pPr>
            <w:r w:rsidRPr="002E1B62">
              <w:rPr>
                <w:rFonts w:eastAsia="標楷體" w:hint="eastAsia"/>
                <w:bCs/>
                <w:snapToGrid w:val="0"/>
                <w:color w:val="auto"/>
              </w:rPr>
              <w:t>歷</w:t>
            </w:r>
            <w:r w:rsidRPr="002E1B62">
              <w:rPr>
                <w:rFonts w:eastAsia="標楷體" w:hint="eastAsia"/>
                <w:bCs/>
                <w:snapToGrid w:val="0"/>
                <w:color w:val="auto"/>
              </w:rPr>
              <w:t>Ba-IV-2</w:t>
            </w:r>
            <w:r>
              <w:rPr>
                <w:rFonts w:eastAsia="標楷體" w:hint="eastAsia"/>
                <w:bCs/>
                <w:snapToGrid w:val="0"/>
                <w:color w:val="auto"/>
              </w:rPr>
              <w:t xml:space="preserve"> </w:t>
            </w:r>
            <w:r w:rsidRPr="002E1B62">
              <w:rPr>
                <w:rFonts w:eastAsia="標楷體" w:hint="eastAsia"/>
                <w:bCs/>
                <w:snapToGrid w:val="0"/>
                <w:color w:val="auto"/>
              </w:rPr>
              <w:t>臺灣原住民族的遷徙與傳說。</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第一章史前臺灣與原住民族文化</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1.臺灣原住民為南島語族</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2.南島語族的分布範圍</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3.從不同研究去推測史前時代的臺灣原住民與東南亞、太平洋諸島有貿易交流，並向外擴散遷徙：</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(1)樹皮衣</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(2)臺灣玉</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3.臺灣原住民在不同時期的稱呼</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4.臺灣原住民族依照地理位置分類：</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(1)平埔族的分布、族群、特色</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(2)高山各族的分布、族群、特色</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5.臺灣原住民族的傳說</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(1)阿美族的祖先起源傳說</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(2)邵族的白鹿傳說</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1.原委會全國資訊網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2.原住民電視臺節目</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3.歷史文化學習網</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【海洋教育】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海J11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了解海洋民俗信仰與祭典之意義及其與社會發展之關係。</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【原住民族教育】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了解原住民族語言發展的文化脈絡與智慧。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培養對各種語言文化差異的尊重。</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原J4</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認識原住民族在各歷階段的重大事件。</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原J10</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認識原住民族地區、部落及傳統土地領域的地理分佈。</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lastRenderedPageBreak/>
              <w:t>原J12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主動關注原住民族土地與自然資源議題。</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第四週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9/21~9/25</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Bb-IV-1</w:t>
            </w:r>
            <w:r>
              <w:rPr>
                <w:rFonts w:eastAsia="標楷體" w:hint="eastAsia"/>
                <w:color w:val="auto"/>
              </w:rPr>
              <w:t xml:space="preserve"> </w:t>
            </w:r>
            <w:r w:rsidRPr="002E1B62">
              <w:rPr>
                <w:rFonts w:eastAsia="標楷體" w:hint="eastAsia"/>
                <w:color w:val="auto"/>
              </w:rPr>
              <w:t>十六、十七世紀東亞海域的各方勢力。</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 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大航海時代各方勢力的競逐</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1.歐洲人東來的原因：</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 xml:space="preserve">  對東南亞、中國、印度等地的貴重物品需求日增。</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2.大航海時代出現的時間：</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 xml:space="preserve">  十五世紀末</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3.大航海時代在東亞競逐的歐洲國家：</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(1)葡萄牙人</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(2)西班牙人</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(3)荷蘭人</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4.大航海時代歐洲人在東亞貿易的據點</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(1)葡萄牙：中國澳門</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(2)西班牙：菲律賓馬尼拉、臺灣北部</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(3)荷蘭：印尼巴達維亞、臺灣南部</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1.世界地圖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【海洋教育】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海J9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了解我國與其他國家海洋文化的異同。</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第五週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9/28~10/2</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Bb-IV-1</w:t>
            </w:r>
            <w:r>
              <w:rPr>
                <w:rFonts w:eastAsia="標楷體" w:hint="eastAsia"/>
                <w:color w:val="auto"/>
              </w:rPr>
              <w:t xml:space="preserve"> </w:t>
            </w:r>
            <w:r w:rsidRPr="002E1B62">
              <w:rPr>
                <w:rFonts w:eastAsia="標楷體" w:hint="eastAsia"/>
                <w:color w:val="auto"/>
              </w:rPr>
              <w:t>十六、十七世紀東亞海域的各方勢力。</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w:t>
            </w:r>
            <w:r w:rsidRPr="002E1B62">
              <w:rPr>
                <w:rFonts w:ascii="標楷體" w:eastAsia="標楷體" w:hAnsi="標楷體" w:cs="標楷體" w:hint="eastAsia"/>
                <w:color w:val="auto"/>
              </w:rPr>
              <w:lastRenderedPageBreak/>
              <w:t>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大航海時代各方勢力的競逐</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1.大航海時代前後，東亞海域貿易的狀況。</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2.倭寇與海商的定義。</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3.海禁政策實施的背景、經過、結果與影響。</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4.倭寇的活動影響中國海商從澎湖遷徙至臺灣笨港一帶。</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1.世界地圖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【海洋教育】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海J9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了解我國與其他國家海洋文化的異同。</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w:t>
            </w:r>
            <w:r w:rsidRPr="002E1B62">
              <w:rPr>
                <w:rFonts w:ascii="標楷體" w:eastAsia="標楷體" w:hAnsi="標楷體" w:cs="DFKaiShu-SB-Estd-BF" w:hint="eastAsia"/>
                <w:color w:val="auto"/>
              </w:rPr>
              <w:lastRenderedPageBreak/>
              <w:t>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第六週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10/5~10/9</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Bb-IV-1</w:t>
            </w:r>
            <w:r>
              <w:rPr>
                <w:rFonts w:eastAsia="標楷體" w:hint="eastAsia"/>
                <w:color w:val="auto"/>
              </w:rPr>
              <w:t xml:space="preserve"> </w:t>
            </w:r>
            <w:r w:rsidRPr="002E1B62">
              <w:rPr>
                <w:rFonts w:eastAsia="標楷體" w:hint="eastAsia"/>
                <w:color w:val="auto"/>
              </w:rPr>
              <w:t>十六、十七世紀東亞海域的各方勢力。</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大航海時代各方勢力的競逐</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1.葡、荷、西在東亞的據點—荷蘭：印尼巴達維亞</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2.荷蘭聯合東印度公司在東亞海域貿易的角色</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3.荷蘭先出兵澎湖，失敗，轉而前往占據臺灣南部</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4.荷蘭在臺灣南部建城</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(1)熱蘭遮城：行政中心</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(2)普羅民遮城：商業中心</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5.荷治時期，臺灣成為國際貿易的轉運站。</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6.荷、日貿易衝突的開始與結束</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(1)濱田彌兵衛事件</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(2)鎖國政策</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1.世界地圖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【海洋教育】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海J9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了解我國與其他國家海洋文化的異同。</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第七週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10/12~10/16</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Bb-IV-1</w:t>
            </w:r>
            <w:r>
              <w:rPr>
                <w:rFonts w:eastAsia="標楷體" w:hint="eastAsia"/>
                <w:color w:val="auto"/>
              </w:rPr>
              <w:t xml:space="preserve"> </w:t>
            </w:r>
            <w:r w:rsidRPr="002E1B62">
              <w:rPr>
                <w:rFonts w:eastAsia="標楷體" w:hint="eastAsia"/>
                <w:color w:val="auto"/>
              </w:rPr>
              <w:t>十六、十七世紀東亞海域的各方勢力。</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第二章 大航海時代各方勢力的競逐（第一次段考）</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1.西班牙占領臺灣北部的原因</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2.西班牙在臺灣北部的經營</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(1)基隆</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(2)淡水</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(3)蛤仔難</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3.日本鎖國政策對西班牙占據臺灣北部的影響：荷蘭驅逐西班牙，占據臺灣西部。</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4.荷蘭被鄭氏取代</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(1)荷蘭與鄭氏在東亞海域貿易的關係</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(2)鄭成功率兵攻臺，取代荷蘭人在臺的統治。</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1.相關掛圖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【海洋教育】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海J9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了解我國與其他國家海洋文化的異同。</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Default="002A68DA" w:rsidP="002D6B4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第一次段考</w:t>
            </w:r>
          </w:p>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10/13~10/14</w:t>
            </w: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第八週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10/19~10/23</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Bb-IV-2</w:t>
            </w:r>
            <w:r>
              <w:rPr>
                <w:rFonts w:eastAsia="標楷體" w:hint="eastAsia"/>
                <w:color w:val="auto"/>
              </w:rPr>
              <w:t xml:space="preserve"> </w:t>
            </w:r>
            <w:r w:rsidRPr="002E1B62">
              <w:rPr>
                <w:rFonts w:eastAsia="標楷體" w:hint="eastAsia"/>
                <w:color w:val="auto"/>
              </w:rPr>
              <w:t>原住民族與外來者的接觸。</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w:t>
            </w:r>
            <w:r w:rsidRPr="002E1B62">
              <w:rPr>
                <w:rFonts w:ascii="標楷體" w:eastAsia="標楷體" w:hAnsi="標楷體" w:cs="標楷體" w:hint="eastAsia"/>
                <w:color w:val="auto"/>
              </w:rPr>
              <w:lastRenderedPageBreak/>
              <w:t>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第二篇 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第三章原住民與外來者的接觸</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1.原住民與中、日海商的接觸</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2.原住民與歐洲海權國家的接觸</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3.原住民與外來政權的合作—與荷蘭合作：郭懷一事件</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1.原委會全國資訊網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2.原住民電視臺節目</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3.歷史文化學習網</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【原住民族教育】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了解原住民族語言發展的文化脈絡與智慧。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培養對各種語言文化差異的尊重。</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認識原住民族在各歷階段的重大事件。</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原J12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主動關注原住民族土地與自然資源議題。</w:t>
            </w:r>
          </w:p>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【閱讀素養教育】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lastRenderedPageBreak/>
              <w:t>閱J1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發展多元文本的閱讀策略。</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發展跨文本的比對、分析、深究的能力，以判讀文本知識的正確性。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AD208D">
            <w:pPr>
              <w:adjustRightInd w:val="0"/>
              <w:snapToGrid w:val="0"/>
              <w:spacing w:line="0" w:lineRule="atLeast"/>
              <w:ind w:hanging="7"/>
              <w:jc w:val="left"/>
              <w:rPr>
                <w:rFonts w:ascii="標楷體" w:eastAsia="標楷體" w:hAnsi="標楷體" w:cs="標楷體"/>
                <w:sz w:val="24"/>
                <w:szCs w:val="24"/>
              </w:rPr>
            </w:pPr>
          </w:p>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第九週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10/26~10/30</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Bb-IV-2</w:t>
            </w:r>
            <w:r>
              <w:rPr>
                <w:rFonts w:eastAsia="標楷體" w:hint="eastAsia"/>
                <w:color w:val="auto"/>
              </w:rPr>
              <w:t xml:space="preserve"> </w:t>
            </w:r>
            <w:r w:rsidRPr="002E1B62">
              <w:rPr>
                <w:rFonts w:eastAsia="標楷體" w:hint="eastAsia"/>
                <w:color w:val="auto"/>
              </w:rPr>
              <w:t>原住民族與外來者的接觸。</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 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第三章原住民與外來者的接觸</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1.原住民與外來政權的合作─與鄭氏合作：驅逐荷蘭人</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2.原住民與外來政權的對抗</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(1)麻豆社與荷蘭的衝突</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(2)大肚王與荷蘭的衝突</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3.原住民衝突過後的選擇</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1.原委會全國資訊網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2.原住民電視臺節目</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3.歷史文化學習網</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【原住民族教育】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了解原住民族語言發展的文化脈絡與智慧。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培養對各種語言文化差異的尊重。</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認識原住民族在各歷階段的重大事件。</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原J12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主動關注原住民族土地與自然資源議題。</w:t>
            </w:r>
          </w:p>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【閱讀素養教育】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發展多元文本的閱讀策略。</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發展跨文本的比對、分析、深究的能力，以判讀文本知識的正確性。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理解學科知識內的重要詞彙的意</w:t>
            </w:r>
            <w:r w:rsidRPr="002E1B62">
              <w:rPr>
                <w:rFonts w:ascii="標楷體" w:eastAsia="標楷體" w:hAnsi="標楷體" w:cs="DFKaiShu-SB-Estd-BF" w:hint="eastAsia"/>
                <w:bCs/>
                <w:snapToGrid w:val="0"/>
                <w:color w:val="auto"/>
              </w:rPr>
              <w:lastRenderedPageBreak/>
              <w:t>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11/2~11/6</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Bb-IV-2</w:t>
            </w:r>
            <w:r>
              <w:rPr>
                <w:rFonts w:eastAsia="標楷體" w:hint="eastAsia"/>
                <w:color w:val="auto"/>
              </w:rPr>
              <w:t xml:space="preserve"> </w:t>
            </w:r>
            <w:r w:rsidRPr="002E1B62">
              <w:rPr>
                <w:rFonts w:eastAsia="標楷體" w:hint="eastAsia"/>
                <w:color w:val="auto"/>
              </w:rPr>
              <w:t>原住民族與外來者的接觸。</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第三章原住民與外來者的接觸</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1.外來者的影響</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(1)西方宗教的傳入</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(2)西方文化的影響</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(3)經濟活動的影響</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2.課後閱讀：</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從繁盛、絕跡到重生—臺灣梅花鹿</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1.原委會全國資訊網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2.原住民電視臺節目</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3.歷史文化學習網</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【原住民族教育】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了解原住民族語言發展的文化脈絡與智慧。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培養對各種語言文化差異的尊重。</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認識原住民族在各歷階段的重大事件。</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原J12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主動關注原住民族土地與自然資源議題。</w:t>
            </w:r>
          </w:p>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【閱讀素養教育】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發展多元文本的閱讀策略。</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發展跨文本的比對、分析、深究的能力，以判讀文本知識的正確性。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第十一週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11/9~11/13</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Ca-IV-1</w:t>
            </w:r>
            <w:r>
              <w:rPr>
                <w:rFonts w:eastAsia="標楷體" w:hint="eastAsia"/>
                <w:color w:val="auto"/>
              </w:rPr>
              <w:t xml:space="preserve"> </w:t>
            </w:r>
            <w:r w:rsidRPr="002E1B62">
              <w:rPr>
                <w:rFonts w:eastAsia="標楷體" w:hint="eastAsia"/>
                <w:color w:val="auto"/>
              </w:rPr>
              <w:t>清帝國的統治政策。</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w:t>
            </w:r>
            <w:r w:rsidRPr="002E1B62">
              <w:rPr>
                <w:rFonts w:ascii="標楷體" w:eastAsia="標楷體" w:hAnsi="標楷體" w:cs="標楷體" w:hint="eastAsia"/>
                <w:color w:val="auto"/>
              </w:rPr>
              <w:lastRenderedPageBreak/>
              <w:t>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第四章清帝國統治政策的變遷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1.清初治臺政策與措施。</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2.臺灣納入清帝國版圖的過程。</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lastRenderedPageBreak/>
              <w:t>3.治臺政策與措施—渡臺禁令。</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4.治臺政策與措施—劃界封山。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5.配合課後閱讀：臺灣棄留爭議。</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lastRenderedPageBreak/>
              <w:t>1.</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3.學習單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【海洋教育】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海J9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了解我國與其他國家海洋文化的異同。</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lastRenderedPageBreak/>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第十二週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11/16~11/20</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Ca-IV-1</w:t>
            </w:r>
            <w:r>
              <w:rPr>
                <w:rFonts w:eastAsia="標楷體" w:hint="eastAsia"/>
                <w:color w:val="auto"/>
              </w:rPr>
              <w:t xml:space="preserve"> </w:t>
            </w:r>
            <w:r w:rsidRPr="002E1B62">
              <w:rPr>
                <w:rFonts w:eastAsia="標楷體" w:hint="eastAsia"/>
                <w:color w:val="auto"/>
              </w:rPr>
              <w:t>清帝國的統治政策。</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w:t>
            </w:r>
            <w:r w:rsidRPr="002E1B62">
              <w:rPr>
                <w:rFonts w:ascii="標楷體" w:eastAsia="標楷體" w:hAnsi="標楷體" w:cs="標楷體" w:hint="eastAsia"/>
                <w:color w:val="auto"/>
              </w:rPr>
              <w:lastRenderedPageBreak/>
              <w:t>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第四章清帝國統治政策的變遷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1.清初治臺政策與措施—行政區劃的調整。</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2.晚清外患下的治臺政策轉變</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(1)英法聯軍帶來的影響</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(2)自強運動帶來的影響</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1.世界地圖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【海洋教育】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海J9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了解我國與其他國家海洋文化的異同。</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第十三週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11/23~11/27</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Ca-IV-1</w:t>
            </w:r>
            <w:r>
              <w:rPr>
                <w:rFonts w:eastAsia="標楷體" w:hint="eastAsia"/>
                <w:color w:val="auto"/>
              </w:rPr>
              <w:t xml:space="preserve"> </w:t>
            </w:r>
            <w:r w:rsidRPr="002E1B62">
              <w:rPr>
                <w:rFonts w:eastAsia="標楷體" w:hint="eastAsia"/>
                <w:color w:val="auto"/>
              </w:rPr>
              <w:t>清帝國的統治政策。</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 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 清帝國統治政策的變遷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1.晚清外患下的治臺政策與建設</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牡丹社事件帶來的影響—沈葆楨來臺。</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2.晚清外患下的治臺政策與建設</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清法戰爭與臺灣建省—劉銘傳來臺。</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3.比較沈葆楨與劉銘傳來臺後的建設。</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1.世界地圖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【海洋教育】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海J9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了解我國與其他國家海洋文化的異同。</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第十四週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11/30~12/4</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Ca-IV-1</w:t>
            </w:r>
            <w:r>
              <w:rPr>
                <w:rFonts w:eastAsia="標楷體" w:hint="eastAsia"/>
                <w:color w:val="auto"/>
              </w:rPr>
              <w:t xml:space="preserve"> </w:t>
            </w:r>
            <w:r w:rsidRPr="002E1B62">
              <w:rPr>
                <w:rFonts w:eastAsia="標楷體" w:hint="eastAsia"/>
                <w:color w:val="auto"/>
              </w:rPr>
              <w:t>清帝國的統治政策。</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w:t>
            </w:r>
            <w:r w:rsidRPr="002E1B62">
              <w:rPr>
                <w:rFonts w:ascii="標楷體" w:eastAsia="標楷體" w:hAnsi="標楷體" w:cs="標楷體" w:hint="eastAsia"/>
                <w:color w:val="auto"/>
              </w:rPr>
              <w:lastRenderedPageBreak/>
              <w:t>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第四章清帝國統治政策的變遷（第二次段考）</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晚清外患下的治臺政策與建設，承上，再將舊有沈葆楨、劉銘傳兩人的建設做主題式分類，便於段考的複習：</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1.政治方面：廢除渡臺禁令與劃界封山、調整行政區劃、開山撫番。</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2.軍事方面：設立西式炮臺、並且設立製造槍炮的工廠。</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3.交通方面：開闢公路、鐵路以及設立郵局等措施。</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4.教育方面：：創辦西式學校，培育相關人才。</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lastRenderedPageBreak/>
              <w:t>1.相關掛圖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w:t>
            </w:r>
            <w:r w:rsidRPr="002E1B62">
              <w:rPr>
                <w:rFonts w:ascii="標楷體" w:eastAsia="標楷體" w:hAnsi="標楷體" w:cs="DFKaiShu-SB-Estd-BF" w:hint="eastAsia"/>
                <w:color w:val="auto"/>
              </w:rPr>
              <w:lastRenderedPageBreak/>
              <w:t>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Default="002A68DA" w:rsidP="002D6B4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第二次段考</w:t>
            </w:r>
          </w:p>
          <w:p w:rsidR="002A68DA" w:rsidRPr="00500692" w:rsidRDefault="002A68DA" w:rsidP="002D6B4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12/2~2/3</w:t>
            </w: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第十五週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12/7~12/11</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Ca-IV-2</w:t>
            </w:r>
            <w:r>
              <w:rPr>
                <w:rFonts w:eastAsia="標楷體" w:hint="eastAsia"/>
                <w:color w:val="auto"/>
              </w:rPr>
              <w:t xml:space="preserve"> </w:t>
            </w:r>
            <w:r w:rsidRPr="002E1B62">
              <w:rPr>
                <w:rFonts w:eastAsia="標楷體" w:hint="eastAsia"/>
                <w:color w:val="auto"/>
              </w:rPr>
              <w:t>農商業的發展。</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 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第五章 清帝國時期農商業的發展</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1.清帝國時期臺灣的土地開墾</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(1)番地</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(2)無主地</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(3)合資開墾</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(4)越界開墾</w:t>
            </w:r>
          </w:p>
          <w:p w:rsidR="002A68DA" w:rsidRPr="00DD0581"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2.清帝國時期臺灣的水利設施</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(1)臺北瑠公圳</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(2)臺中貓霧捒圳</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(3)彰化八堡圳</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(4)高雄曹公圳</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1.相關掛圖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【人權教育】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人J4</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了解平等、正義的原則，並在生活中實踐。</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了解社會上有不同的群體和文化，尊重並欣賞其差異。</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793DAB">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第十六週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12/14~12/18</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Ca-IV-2</w:t>
            </w:r>
            <w:r>
              <w:rPr>
                <w:rFonts w:eastAsia="標楷體" w:hint="eastAsia"/>
                <w:color w:val="auto"/>
              </w:rPr>
              <w:t xml:space="preserve"> </w:t>
            </w:r>
            <w:r w:rsidRPr="002E1B62">
              <w:rPr>
                <w:rFonts w:eastAsia="標楷體" w:hint="eastAsia"/>
                <w:color w:val="auto"/>
              </w:rPr>
              <w:t>農商業的發展。</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社2a-IV-1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敏銳察覺人與環境的互動關係及其淵源。</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尊重不同群體文化的差異性，並欣賞其文化之美。</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 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第五章 清帝國時期農商業的發展</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 商業組織的出現：「郊」</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(1)依照貿易區域劃分</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(2)依照貿易商品劃分</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 港口的發展：一府二鹿三艋舺</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1.相關掛圖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793DAB">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第十六週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12/14~12/18</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 w:val="20"/>
                <w:szCs w:val="20"/>
              </w:rPr>
              <w:t>公Ba-IV-2</w:t>
            </w:r>
            <w:r>
              <w:rPr>
                <w:rFonts w:eastAsia="標楷體" w:hint="eastAsia"/>
                <w:bCs/>
                <w:snapToGrid w:val="0"/>
                <w:color w:val="auto"/>
                <w:sz w:val="20"/>
                <w:szCs w:val="20"/>
              </w:rPr>
              <w:t xml:space="preserve"> </w:t>
            </w:r>
            <w:r w:rsidRPr="002E1B62">
              <w:rPr>
                <w:rFonts w:eastAsia="標楷體" w:hint="eastAsia"/>
                <w:bCs/>
                <w:snapToGrid w:val="0"/>
                <w:color w:val="auto"/>
                <w:sz w:val="20"/>
                <w:szCs w:val="20"/>
              </w:rPr>
              <w:t>在原住民族社會中，部落的意義與重要性是什麼？為什</w:t>
            </w:r>
            <w:r w:rsidRPr="002E1B62">
              <w:rPr>
                <w:rFonts w:eastAsia="標楷體" w:hint="eastAsia"/>
                <w:bCs/>
                <w:snapToGrid w:val="0"/>
                <w:color w:val="auto"/>
                <w:sz w:val="20"/>
                <w:szCs w:val="20"/>
              </w:rPr>
              <w:lastRenderedPageBreak/>
              <w:t>麼？</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lastRenderedPageBreak/>
              <w:t>社1a-IV-1</w:t>
            </w:r>
            <w:r>
              <w:rPr>
                <w:rFonts w:eastAsia="標楷體" w:hint="eastAsia"/>
                <w:bCs/>
                <w:snapToGrid w:val="0"/>
                <w:color w:val="auto"/>
                <w:szCs w:val="20"/>
              </w:rPr>
              <w:t xml:space="preserve"> </w:t>
            </w:r>
            <w:r w:rsidRPr="002E1B62">
              <w:rPr>
                <w:rFonts w:eastAsia="標楷體" w:hint="eastAsia"/>
                <w:bCs/>
                <w:snapToGrid w:val="0"/>
                <w:color w:val="auto"/>
                <w:szCs w:val="20"/>
              </w:rPr>
              <w:t>發覺生活經驗或社會現象與社會領域內容知識的關係。</w:t>
            </w:r>
          </w:p>
          <w:p w:rsidR="002A68DA" w:rsidRPr="002E1B62" w:rsidRDefault="002A68DA" w:rsidP="00793DAB">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公1a-IV-1</w:t>
            </w:r>
            <w:r>
              <w:rPr>
                <w:rFonts w:eastAsia="標楷體" w:hint="eastAsia"/>
                <w:bCs/>
                <w:snapToGrid w:val="0"/>
                <w:color w:val="auto"/>
                <w:szCs w:val="20"/>
              </w:rPr>
              <w:t xml:space="preserve"> </w:t>
            </w:r>
            <w:r w:rsidRPr="002E1B62">
              <w:rPr>
                <w:rFonts w:eastAsia="標楷體" w:hint="eastAsia"/>
                <w:bCs/>
                <w:snapToGrid w:val="0"/>
                <w:color w:val="auto"/>
                <w:szCs w:val="20"/>
              </w:rPr>
              <w:t>理解</w:t>
            </w:r>
            <w:r w:rsidRPr="002E1B62">
              <w:rPr>
                <w:rFonts w:eastAsia="標楷體" w:hint="eastAsia"/>
                <w:bCs/>
                <w:snapToGrid w:val="0"/>
                <w:color w:val="auto"/>
                <w:szCs w:val="20"/>
              </w:rPr>
              <w:lastRenderedPageBreak/>
              <w:t>公民知識的核心概念。</w:t>
            </w:r>
          </w:p>
          <w:p w:rsidR="002A68DA" w:rsidRPr="002E1B62" w:rsidRDefault="002A68DA" w:rsidP="00793DAB">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社2a-IV-1</w:t>
            </w:r>
            <w:r>
              <w:rPr>
                <w:rFonts w:eastAsia="標楷體" w:hint="eastAsia"/>
                <w:bCs/>
                <w:snapToGrid w:val="0"/>
                <w:color w:val="auto"/>
                <w:szCs w:val="20"/>
              </w:rPr>
              <w:t xml:space="preserve"> </w:t>
            </w:r>
            <w:r w:rsidRPr="002E1B62">
              <w:rPr>
                <w:rFonts w:eastAsia="標楷體" w:hint="eastAsia"/>
                <w:bCs/>
                <w:snapToGrid w:val="0"/>
                <w:color w:val="auto"/>
                <w:szCs w:val="20"/>
              </w:rPr>
              <w:t>敏銳察覺人與環境的互動關係及其淵源。</w:t>
            </w:r>
          </w:p>
          <w:p w:rsidR="002A68DA" w:rsidRPr="002E1B62" w:rsidRDefault="002A68DA" w:rsidP="00793DAB">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社2a-IV-3</w:t>
            </w:r>
            <w:r>
              <w:rPr>
                <w:rFonts w:eastAsia="標楷體" w:hint="eastAsia"/>
                <w:bCs/>
                <w:snapToGrid w:val="0"/>
                <w:color w:val="auto"/>
                <w:szCs w:val="20"/>
              </w:rPr>
              <w:t xml:space="preserve"> </w:t>
            </w:r>
            <w:r w:rsidRPr="002E1B62">
              <w:rPr>
                <w:rFonts w:eastAsia="標楷體" w:hint="eastAsia"/>
                <w:bCs/>
                <w:snapToGrid w:val="0"/>
                <w:color w:val="auto"/>
                <w:szCs w:val="20"/>
              </w:rPr>
              <w:t>關心不同的社會文化及其發展，並展現開闊的世界觀。</w:t>
            </w:r>
          </w:p>
          <w:p w:rsidR="002A68DA" w:rsidRPr="002E1B62" w:rsidRDefault="002A68DA" w:rsidP="00793DAB">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社2b-IV-1</w:t>
            </w:r>
            <w:r>
              <w:rPr>
                <w:rFonts w:eastAsia="標楷體" w:hint="eastAsia"/>
                <w:bCs/>
                <w:snapToGrid w:val="0"/>
                <w:color w:val="auto"/>
                <w:szCs w:val="20"/>
              </w:rPr>
              <w:t xml:space="preserve"> </w:t>
            </w:r>
            <w:r w:rsidRPr="002E1B62">
              <w:rPr>
                <w:rFonts w:eastAsia="標楷體" w:hint="eastAsia"/>
                <w:bCs/>
                <w:snapToGrid w:val="0"/>
                <w:color w:val="auto"/>
                <w:szCs w:val="20"/>
              </w:rPr>
              <w:t>感受個人或不同群體在社會處境中的經歷與情緒，並了解其抉擇。</w:t>
            </w:r>
          </w:p>
          <w:p w:rsidR="002A68DA" w:rsidRPr="002E1B62" w:rsidRDefault="002A68DA" w:rsidP="00793DAB">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社2b-IV-2</w:t>
            </w:r>
            <w:r>
              <w:rPr>
                <w:rFonts w:eastAsia="標楷體" w:hint="eastAsia"/>
                <w:bCs/>
                <w:snapToGrid w:val="0"/>
                <w:color w:val="auto"/>
                <w:szCs w:val="20"/>
              </w:rPr>
              <w:t xml:space="preserve"> </w:t>
            </w:r>
            <w:r w:rsidRPr="002E1B62">
              <w:rPr>
                <w:rFonts w:eastAsia="標楷體" w:hint="eastAsia"/>
                <w:bCs/>
                <w:snapToGrid w:val="0"/>
                <w:color w:val="auto"/>
                <w:szCs w:val="20"/>
              </w:rPr>
              <w:t>尊重不同群體文化的差異性，並欣賞其文化之美。</w:t>
            </w:r>
          </w:p>
          <w:p w:rsidR="002A68DA" w:rsidRPr="002E1B62" w:rsidRDefault="002A68DA" w:rsidP="00793DAB">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社2c-IV-2</w:t>
            </w:r>
            <w:r>
              <w:rPr>
                <w:rFonts w:eastAsia="標楷體" w:hint="eastAsia"/>
                <w:bCs/>
                <w:snapToGrid w:val="0"/>
                <w:color w:val="auto"/>
                <w:szCs w:val="20"/>
              </w:rPr>
              <w:t xml:space="preserve"> </w:t>
            </w:r>
            <w:r w:rsidRPr="002E1B62">
              <w:rPr>
                <w:rFonts w:eastAsia="標楷體" w:hint="eastAsia"/>
                <w:bCs/>
                <w:snapToGrid w:val="0"/>
                <w:color w:val="auto"/>
                <w:szCs w:val="20"/>
              </w:rPr>
              <w:t>珍視重要的公民價值並願意付諸行動。</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第三篇公民身分及社群</w:t>
            </w:r>
          </w:p>
          <w:p w:rsidR="002A68DA" w:rsidRPr="002E1B62" w:rsidRDefault="002A68DA" w:rsidP="00793DAB">
            <w:pPr>
              <w:pStyle w:val="Default"/>
              <w:spacing w:line="260" w:lineRule="exact"/>
              <w:jc w:val="left"/>
              <w:rPr>
                <w:rFonts w:ascii="Times New Roman" w:eastAsiaTheme="minorEastAsia" w:hAnsi="Times New Roman" w:cs="Times New Roman"/>
                <w:bCs/>
                <w:snapToGrid w:val="0"/>
                <w:sz w:val="20"/>
                <w:szCs w:val="20"/>
              </w:rPr>
            </w:pPr>
            <w:r w:rsidRPr="002E1B62">
              <w:rPr>
                <w:rFonts w:eastAsia="標楷體" w:hint="eastAsia"/>
                <w:bCs/>
                <w:snapToGrid w:val="0"/>
                <w:color w:val="auto"/>
                <w:szCs w:val="20"/>
              </w:rPr>
              <w:t>第五章 原住民族部落與公民參與</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1.說明部落為原住民族自治的基礎，部落領袖的產生方式，以及原住民族基本法中有關部落會議的概念及運作。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2.說明原住民族的傳統領域，教師可請學生</w:t>
            </w:r>
            <w:r w:rsidRPr="002E1B62">
              <w:rPr>
                <w:rFonts w:ascii="標楷體" w:eastAsia="標楷體" w:hAnsi="標楷體" w:cs="標楷體" w:hint="eastAsia"/>
                <w:color w:val="auto"/>
              </w:rPr>
              <w:lastRenderedPageBreak/>
              <w:t>思考如果原住民族的傳統文化與國家法律衝突時該如何解決？請學生發言分享。</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3.說明圖3-5-10原住民族部落活力計畫。</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lastRenderedPageBreak/>
              <w:t>蒐集原住民族的傳統狩獵文化與國家法律衝突遭到判刑的案例新聞報導及影片。</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3.蒐集資料</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【原住民族教育】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原J6</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認識部落的氏族、政治、祭儀、教育、規訓制度及其運作。</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原J7</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認識部落傳統</w:t>
            </w:r>
            <w:r w:rsidRPr="002E1B62">
              <w:rPr>
                <w:rFonts w:ascii="標楷體" w:eastAsia="標楷體" w:hAnsi="標楷體" w:cs="DFKaiShu-SB-Estd-BF" w:hint="eastAsia"/>
                <w:color w:val="auto"/>
              </w:rPr>
              <w:lastRenderedPageBreak/>
              <w:t>制度運作背後的文化意涵。</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原J8</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學習原住民族音樂、舞蹈、服飾、建築與各種工藝技藝並區分各族之差異。</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學習向他人介紹各種原住民族文化展現。</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原J10</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認識原住民族地區、部落及傳統土地領域的地理分佈。</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原J11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認識原住民族土地自然資源與文化間的關係。</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原J12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主動關注原住民族土地與自然資源議題。</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原J13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學習或實作原住民族傳統採集、漁獵、農耕知識。</w:t>
            </w:r>
          </w:p>
        </w:tc>
        <w:tc>
          <w:tcPr>
            <w:tcW w:w="1429" w:type="dxa"/>
            <w:tcBorders>
              <w:top w:val="single" w:sz="8" w:space="0" w:color="000000"/>
              <w:bottom w:val="single" w:sz="8" w:space="0" w:color="000000"/>
              <w:right w:val="single" w:sz="8" w:space="0" w:color="000000"/>
            </w:tcBorders>
          </w:tcPr>
          <w:p w:rsidR="002A68DA" w:rsidRPr="00500692" w:rsidRDefault="002A68DA" w:rsidP="00793DAB">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第十七週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12/21~12/25</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Ca-IV-2</w:t>
            </w:r>
            <w:r>
              <w:rPr>
                <w:rFonts w:eastAsia="標楷體" w:hint="eastAsia"/>
                <w:color w:val="auto"/>
              </w:rPr>
              <w:t xml:space="preserve"> </w:t>
            </w:r>
            <w:r w:rsidRPr="002E1B62">
              <w:rPr>
                <w:rFonts w:eastAsia="標楷體" w:hint="eastAsia"/>
                <w:color w:val="auto"/>
              </w:rPr>
              <w:t>農商業的發展。</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w:t>
            </w:r>
            <w:r w:rsidRPr="002E1B62">
              <w:rPr>
                <w:rFonts w:ascii="標楷體" w:eastAsia="標楷體" w:hAnsi="標楷體" w:cs="標楷體" w:hint="eastAsia"/>
                <w:color w:val="auto"/>
              </w:rPr>
              <w:lastRenderedPageBreak/>
              <w:t>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第五章 清帝國時期農商業的發展</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 開港通商後的國際貿易，以臺灣三樣主要的出口商品來分析：</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(1)茶葉</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(2)蔗糖</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(3)樟腦</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lastRenderedPageBreak/>
              <w:t>2. 農、商業關係密切：從荷蘭時期開始，臺灣的農產品除部分提供自用外，幾乎皆以出口貿易為主；農民也習於透過貿易，賺取金錢，購買生活所需物資，具有重商趨利的性格。</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lastRenderedPageBreak/>
              <w:t>1.相關掛圖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w:t>
            </w:r>
            <w:r w:rsidRPr="002E1B62">
              <w:rPr>
                <w:rFonts w:ascii="標楷體" w:eastAsia="標楷體" w:hAnsi="標楷體" w:cs="DFKaiShu-SB-Estd-BF" w:hint="eastAsia"/>
                <w:color w:val="auto"/>
              </w:rPr>
              <w:lastRenderedPageBreak/>
              <w:t>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793DAB">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第十八週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12/28~1/1</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Cb-IV-2</w:t>
            </w:r>
            <w:r>
              <w:rPr>
                <w:rFonts w:eastAsia="標楷體" w:hint="eastAsia"/>
                <w:color w:val="auto"/>
              </w:rPr>
              <w:t xml:space="preserve"> </w:t>
            </w:r>
            <w:r w:rsidRPr="002E1B62">
              <w:rPr>
                <w:rFonts w:eastAsia="標楷體" w:hint="eastAsia"/>
                <w:color w:val="auto"/>
              </w:rPr>
              <w:t>漢人社會的活動。</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第六章清帝國時期社會文化的變遷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 移民分布</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 配合課後閱讀：清初移民渡臺的艱辛</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 移墾社會的特色</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(1)性別比例懸殊</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(2)分類械鬥頻繁</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 宗教信仰與宗族組織</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(1)宗教信仰：原鄉信仰、共同信仰</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(2)宗族組織：唐山祖、開臺祖</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1.相關掛圖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【海洋教育】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海J9</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了解我國與其他國家海洋文化的異同。</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【人權教育】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人J4</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了解平等、正義的原則，並在生活中實踐。</w:t>
            </w:r>
          </w:p>
        </w:tc>
        <w:tc>
          <w:tcPr>
            <w:tcW w:w="1429" w:type="dxa"/>
            <w:tcBorders>
              <w:top w:val="single" w:sz="8" w:space="0" w:color="000000"/>
              <w:bottom w:val="single" w:sz="8" w:space="0" w:color="000000"/>
              <w:right w:val="single" w:sz="8" w:space="0" w:color="000000"/>
            </w:tcBorders>
          </w:tcPr>
          <w:p w:rsidR="002A68DA" w:rsidRPr="00500692" w:rsidRDefault="002A68DA" w:rsidP="00793DAB">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lastRenderedPageBreak/>
              <w:t>第十八週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12/28~1/1</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Ad-IV-1</w:t>
            </w:r>
            <w:r>
              <w:rPr>
                <w:rFonts w:eastAsia="標楷體" w:hint="eastAsia"/>
                <w:bCs/>
                <w:snapToGrid w:val="0"/>
                <w:color w:val="auto"/>
              </w:rPr>
              <w:t xml:space="preserve"> </w:t>
            </w:r>
            <w:r w:rsidRPr="002E1B62">
              <w:rPr>
                <w:rFonts w:eastAsia="標楷體" w:hint="eastAsia"/>
                <w:bCs/>
                <w:snapToGrid w:val="0"/>
                <w:color w:val="auto"/>
              </w:rPr>
              <w:t>為什麼保障人權與維護人性尊嚴有關？</w:t>
            </w:r>
          </w:p>
          <w:p w:rsidR="002A68DA" w:rsidRPr="002E1B62" w:rsidRDefault="002A68DA" w:rsidP="00793DAB">
            <w:pPr>
              <w:spacing w:line="260" w:lineRule="exact"/>
              <w:jc w:val="left"/>
              <w:rPr>
                <w:rFonts w:eastAsiaTheme="minorEastAsia"/>
                <w:bCs/>
                <w:snapToGrid w:val="0"/>
              </w:rPr>
            </w:pPr>
            <w:r w:rsidRPr="002E1B62">
              <w:rPr>
                <w:rFonts w:eastAsia="標楷體" w:hint="eastAsia"/>
                <w:bCs/>
                <w:snapToGrid w:val="0"/>
                <w:color w:val="auto"/>
              </w:rPr>
              <w:t>公</w:t>
            </w:r>
            <w:r w:rsidRPr="002E1B62">
              <w:rPr>
                <w:rFonts w:eastAsia="標楷體" w:hint="eastAsia"/>
                <w:bCs/>
                <w:snapToGrid w:val="0"/>
                <w:color w:val="auto"/>
              </w:rPr>
              <w:t>Ad-IV-2</w:t>
            </w:r>
            <w:r>
              <w:rPr>
                <w:rFonts w:eastAsia="標楷體" w:hint="eastAsia"/>
                <w:bCs/>
                <w:snapToGrid w:val="0"/>
                <w:color w:val="auto"/>
              </w:rPr>
              <w:t xml:space="preserve"> </w:t>
            </w:r>
            <w:r w:rsidRPr="002E1B62">
              <w:rPr>
                <w:rFonts w:eastAsia="標楷體" w:hint="eastAsia"/>
                <w:bCs/>
                <w:snapToGrid w:val="0"/>
                <w:color w:val="auto"/>
              </w:rPr>
              <w:t>為什麼人權應超越國籍、種族、族群、區域、文化、性別、性傾向與身心障礙等界限，受到普遍性的保障？</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社1a-IV-1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發覺生活經驗或社會現象與社會領域內容知識的關係。</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公1c-IV-1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運用公民知識，提出自己對公共議題的見解。</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社2c-IV-2</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珍視重要的公民價值並願意付諸行動。</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社3a-IV-1</w:t>
            </w:r>
            <w:r>
              <w:rPr>
                <w:rFonts w:ascii="標楷體" w:eastAsia="標楷體" w:hAnsi="標楷體" w:cs="標楷體" w:hint="eastAsia"/>
                <w:bCs/>
                <w:snapToGrid w:val="0"/>
                <w:color w:val="auto"/>
              </w:rPr>
              <w:t xml:space="preserve"> </w:t>
            </w:r>
            <w:r w:rsidRPr="002E1B62">
              <w:rPr>
                <w:rFonts w:ascii="標楷體" w:eastAsia="標楷體" w:hAnsi="標楷體" w:cs="標楷體" w:hint="eastAsia"/>
                <w:bCs/>
                <w:snapToGrid w:val="0"/>
                <w:color w:val="auto"/>
              </w:rPr>
              <w:t>發現不同時空脈絡中的人類生活問題，並進行探究。</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第三篇公民身分及社群</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第六章人性尊嚴與普世人權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1.什麼是人性尊嚴？什麼是人權？說明為什麼保障人權與人性尊嚴有關</w:t>
            </w:r>
            <w:r w:rsidRPr="002E1B62">
              <w:rPr>
                <w:rFonts w:ascii="標楷體" w:eastAsia="標楷體" w:hAnsi="標楷體" w:cs="標楷體" w:hint="eastAsia"/>
                <w:bCs/>
                <w:snapToGrid w:val="0"/>
                <w:color w:val="auto"/>
              </w:rPr>
              <w:t>。</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2.以保障人權的角度，說明童工與歐洲各國禁止罩衫侵害伊斯蘭教女性權利，</w:t>
            </w:r>
            <w:r w:rsidRPr="002E1B62">
              <w:rPr>
                <w:rFonts w:ascii="標楷體" w:eastAsia="標楷體" w:hAnsi="標楷體" w:cs="標楷體" w:hint="eastAsia"/>
                <w:color w:val="auto"/>
              </w:rPr>
              <w:t>請學生分享生活中的實際例子</w:t>
            </w:r>
            <w:r w:rsidRPr="002E1B62">
              <w:rPr>
                <w:rFonts w:ascii="標楷體" w:eastAsia="標楷體" w:hAnsi="標楷體" w:cs="標楷體" w:hint="eastAsia"/>
                <w:bCs/>
                <w:snapToGrid w:val="0"/>
                <w:color w:val="auto"/>
              </w:rPr>
              <w:t>。</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1.蒐集南北戰爭時人權受到侵害的相關資料。</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2.蒐集童工受剝削情形的相關資料。</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3.蒐集歐洲各國禁止罩衫的正反面意見相關資料。</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1.課堂發言</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3.蒐集資料</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【人權教育】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認識基本人權的意涵，並了解憲法對人權保障的意義。</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人J14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了解世界人權宣言對人權的維護與保障。</w:t>
            </w:r>
          </w:p>
        </w:tc>
        <w:tc>
          <w:tcPr>
            <w:tcW w:w="1429" w:type="dxa"/>
            <w:tcBorders>
              <w:top w:val="single" w:sz="8" w:space="0" w:color="000000"/>
              <w:bottom w:val="single" w:sz="8" w:space="0" w:color="000000"/>
              <w:right w:val="single" w:sz="8" w:space="0" w:color="000000"/>
            </w:tcBorders>
          </w:tcPr>
          <w:p w:rsidR="002A68DA" w:rsidRPr="00500692" w:rsidRDefault="002A68DA" w:rsidP="00793DAB">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第十九週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1/4~1/8</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Cb-IV-2</w:t>
            </w:r>
            <w:r>
              <w:rPr>
                <w:rFonts w:eastAsia="標楷體" w:hint="eastAsia"/>
                <w:color w:val="auto"/>
              </w:rPr>
              <w:t xml:space="preserve"> </w:t>
            </w:r>
            <w:r w:rsidRPr="002E1B62">
              <w:rPr>
                <w:rFonts w:eastAsia="標楷體" w:hint="eastAsia"/>
                <w:color w:val="auto"/>
              </w:rPr>
              <w:t>漢人社會的活動。</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w:t>
            </w:r>
            <w:r w:rsidRPr="002E1B62">
              <w:rPr>
                <w:rFonts w:ascii="標楷體" w:eastAsia="標楷體" w:hAnsi="標楷體" w:cs="標楷體" w:hint="eastAsia"/>
                <w:color w:val="auto"/>
              </w:rPr>
              <w:lastRenderedPageBreak/>
              <w:t>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lastRenderedPageBreak/>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第六章清帝國時期社會文化的變遷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 文教的發展</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(1)早期文教事業的發展</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(2)臺灣文風的興盛</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(3)官方及民間教育機構</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 開港後的社會與文化變遷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(1)買辦的崛起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(2)北部客家人地位提升</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(3)西方文化的再傳入</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1.相關掛圖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tc>
        <w:tc>
          <w:tcPr>
            <w:tcW w:w="1429" w:type="dxa"/>
            <w:tcBorders>
              <w:top w:val="single" w:sz="8" w:space="0" w:color="000000"/>
              <w:bottom w:val="single" w:sz="8" w:space="0" w:color="000000"/>
              <w:right w:val="single" w:sz="8" w:space="0" w:color="000000"/>
            </w:tcBorders>
          </w:tcPr>
          <w:p w:rsidR="002A68DA" w:rsidRPr="00500692" w:rsidRDefault="002A68DA" w:rsidP="00AD208D">
            <w:pPr>
              <w:adjustRightInd w:val="0"/>
              <w:snapToGrid w:val="0"/>
              <w:spacing w:line="0" w:lineRule="atLeast"/>
              <w:ind w:hanging="7"/>
              <w:jc w:val="left"/>
              <w:rPr>
                <w:rFonts w:ascii="標楷體" w:eastAsia="標楷體" w:hAnsi="標楷體" w:cs="標楷體"/>
                <w:sz w:val="24"/>
                <w:szCs w:val="24"/>
              </w:rPr>
            </w:pPr>
          </w:p>
          <w:p w:rsidR="002A68DA" w:rsidRPr="00500692" w:rsidRDefault="002A68DA" w:rsidP="00793DAB">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第二十週</w:t>
            </w:r>
          </w:p>
          <w:p w:rsidR="002A68DA" w:rsidRPr="002E1B62" w:rsidRDefault="002A68DA" w:rsidP="00793DAB">
            <w:pPr>
              <w:spacing w:line="260" w:lineRule="exact"/>
              <w:jc w:val="center"/>
              <w:rPr>
                <w:rFonts w:eastAsiaTheme="minorEastAsia"/>
              </w:rPr>
            </w:pPr>
            <w:r w:rsidRPr="002E1B62">
              <w:rPr>
                <w:rFonts w:ascii="標楷體" w:eastAsia="標楷體" w:hAnsi="標楷體" w:cs="標楷體" w:hint="eastAsia"/>
                <w:color w:val="auto"/>
              </w:rPr>
              <w:t>1/11~1/15</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Cb-IV-1</w:t>
            </w:r>
            <w:r>
              <w:rPr>
                <w:rFonts w:eastAsia="標楷體" w:hint="eastAsia"/>
                <w:color w:val="auto"/>
              </w:rPr>
              <w:t xml:space="preserve"> </w:t>
            </w:r>
            <w:r w:rsidRPr="002E1B62">
              <w:rPr>
                <w:rFonts w:eastAsia="標楷體" w:hint="eastAsia"/>
                <w:color w:val="auto"/>
              </w:rPr>
              <w:t>原住民族社會及其變化。</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第六章清帝國時期社會文化的變遷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1.平埔族群的社會文化變遷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 官府的壓迫</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 土地的流失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 傳統文化的改變</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(4) 族群的遷徙</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 高山原住民的處境與社會變遷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(1)劃界封山的影響</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(2)牡丹社事件的影響</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1.相關掛圖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【原住民族教育】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原J4</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認識原住民族在各歷階段的重大事件。</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原J12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主動關注原住民族土地與自然資源議題。</w:t>
            </w:r>
          </w:p>
          <w:p w:rsidR="002A68DA" w:rsidRPr="002E1B62" w:rsidRDefault="002A68DA" w:rsidP="00793DAB">
            <w:pPr>
              <w:spacing w:line="260" w:lineRule="exact"/>
              <w:jc w:val="left"/>
              <w:rPr>
                <w:rFonts w:eastAsiaTheme="minorEastAsia"/>
                <w:b/>
                <w:bCs/>
                <w:snapToGrid w:val="0"/>
              </w:rPr>
            </w:pPr>
            <w:r w:rsidRPr="002E1B62">
              <w:rPr>
                <w:rFonts w:ascii="標楷體" w:eastAsia="標楷體" w:hAnsi="標楷體" w:cs="DFKaiShu-SB-Estd-BF" w:hint="eastAsia"/>
                <w:b/>
                <w:bCs/>
                <w:snapToGrid w:val="0"/>
                <w:color w:val="auto"/>
              </w:rPr>
              <w:t>【閱讀素養教育】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閱J1</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發展多元文本的閱讀策略。</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閱J2</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發展跨文本的比對、分析、深究的能力，以判讀文本知識的正確性。</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DFKaiShu-SB-Estd-BF" w:hint="eastAsia"/>
                <w:bCs/>
                <w:snapToGrid w:val="0"/>
                <w:color w:val="auto"/>
              </w:rPr>
              <w:t>閱J3</w:t>
            </w:r>
            <w:r>
              <w:rPr>
                <w:rFonts w:ascii="標楷體" w:eastAsia="標楷體" w:hAnsi="標楷體" w:cs="DFKaiShu-SB-Estd-BF" w:hint="eastAsia"/>
                <w:bCs/>
                <w:snapToGrid w:val="0"/>
                <w:color w:val="auto"/>
              </w:rPr>
              <w:t xml:space="preserve"> </w:t>
            </w:r>
            <w:r w:rsidRPr="002E1B62">
              <w:rPr>
                <w:rFonts w:ascii="標楷體" w:eastAsia="標楷體" w:hAnsi="標楷體" w:cs="DFKaiShu-SB-Estd-BF" w:hint="eastAsia"/>
                <w:bCs/>
                <w:snapToGrid w:val="0"/>
                <w:color w:val="auto"/>
              </w:rPr>
              <w:t>理解學科知識內的重要詞彙的意涵，並懂得如何運用該詞彙與他人進行溝通。</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bCs/>
                <w:snapToGrid w:val="0"/>
                <w:color w:val="auto"/>
              </w:rPr>
              <w:t>【</w:t>
            </w:r>
            <w:r w:rsidRPr="002E1B62">
              <w:rPr>
                <w:rFonts w:ascii="標楷體" w:eastAsia="標楷體" w:hAnsi="標楷體" w:cs="DFKaiShu-SB-Estd-BF" w:hint="eastAsia"/>
                <w:b/>
                <w:color w:val="auto"/>
              </w:rPr>
              <w:t>人權教育】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人J4</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了解平等、正義的原則，並在生活中實踐。</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了解社會上有不同的群體和文化，</w:t>
            </w:r>
            <w:r w:rsidRPr="002E1B62">
              <w:rPr>
                <w:rFonts w:ascii="標楷體" w:eastAsia="標楷體" w:hAnsi="標楷體" w:cs="DFKaiShu-SB-Estd-BF" w:hint="eastAsia"/>
                <w:color w:val="auto"/>
              </w:rPr>
              <w:lastRenderedPageBreak/>
              <w:t>尊重並欣賞其差異。</w:t>
            </w:r>
          </w:p>
        </w:tc>
        <w:tc>
          <w:tcPr>
            <w:tcW w:w="1429" w:type="dxa"/>
            <w:tcBorders>
              <w:top w:val="single" w:sz="8" w:space="0" w:color="000000"/>
              <w:bottom w:val="single" w:sz="8" w:space="0" w:color="000000"/>
              <w:right w:val="single" w:sz="8" w:space="0" w:color="000000"/>
            </w:tcBorders>
          </w:tcPr>
          <w:p w:rsidR="002A68DA" w:rsidRPr="00500692" w:rsidRDefault="002A68DA" w:rsidP="00793DAB">
            <w:pPr>
              <w:adjustRightInd w:val="0"/>
              <w:snapToGrid w:val="0"/>
              <w:spacing w:line="0" w:lineRule="atLeast"/>
              <w:ind w:hanging="7"/>
              <w:jc w:val="left"/>
              <w:rPr>
                <w:rFonts w:ascii="標楷體" w:eastAsia="標楷體" w:hAnsi="標楷體" w:cs="標楷體"/>
                <w:sz w:val="24"/>
                <w:szCs w:val="24"/>
              </w:rPr>
            </w:pPr>
          </w:p>
        </w:tc>
      </w:tr>
      <w:tr w:rsidR="002A68DA" w:rsidRPr="008F16B4" w:rsidTr="00597982">
        <w:trPr>
          <w:trHeight w:val="880"/>
          <w:jc w:val="center"/>
        </w:trPr>
        <w:tc>
          <w:tcPr>
            <w:tcW w:w="1245" w:type="dxa"/>
            <w:tcBorders>
              <w:top w:val="single" w:sz="8" w:space="0" w:color="000000"/>
              <w:left w:val="single" w:sz="8" w:space="0" w:color="000000"/>
              <w:bottom w:val="single" w:sz="8" w:space="0" w:color="000000"/>
              <w:right w:val="single" w:sz="8" w:space="0" w:color="000000"/>
            </w:tcBorders>
            <w:vAlign w:val="center"/>
          </w:tcPr>
          <w:p w:rsidR="002A68DA" w:rsidRPr="002E1B62" w:rsidRDefault="002A68DA" w:rsidP="00793DAB">
            <w:pPr>
              <w:spacing w:line="260" w:lineRule="exact"/>
              <w:jc w:val="center"/>
              <w:rPr>
                <w:rFonts w:eastAsiaTheme="minorEastAsia"/>
                <w:snapToGrid w:val="0"/>
              </w:rPr>
            </w:pPr>
            <w:r w:rsidRPr="002E1B62">
              <w:rPr>
                <w:rFonts w:ascii="標楷體" w:eastAsia="標楷體" w:hAnsi="標楷體" w:cs="標楷體" w:hint="eastAsia"/>
                <w:snapToGrid w:val="0"/>
                <w:color w:val="auto"/>
              </w:rPr>
              <w:t>第二十一週</w:t>
            </w:r>
          </w:p>
          <w:p w:rsidR="002A68DA" w:rsidRPr="002E1B62" w:rsidRDefault="002A68DA" w:rsidP="00D53BDD">
            <w:pPr>
              <w:spacing w:line="260" w:lineRule="exact"/>
              <w:jc w:val="center"/>
              <w:rPr>
                <w:rFonts w:eastAsiaTheme="minorEastAsia"/>
              </w:rPr>
            </w:pPr>
            <w:r w:rsidRPr="002E1B62">
              <w:rPr>
                <w:rFonts w:ascii="標楷體" w:eastAsia="標楷體" w:hAnsi="標楷體" w:cs="標楷體" w:hint="eastAsia"/>
                <w:color w:val="auto"/>
              </w:rPr>
              <w:t>1/18~1/</w:t>
            </w:r>
            <w:r w:rsidR="00D53BDD">
              <w:rPr>
                <w:rFonts w:ascii="標楷體" w:eastAsia="標楷體" w:hAnsi="標楷體" w:cs="標楷體" w:hint="eastAsia"/>
                <w:color w:val="auto"/>
              </w:rPr>
              <w:t>21</w:t>
            </w:r>
          </w:p>
        </w:tc>
        <w:tc>
          <w:tcPr>
            <w:tcW w:w="1349" w:type="dxa"/>
            <w:tcBorders>
              <w:top w:val="single" w:sz="8" w:space="0" w:color="000000"/>
              <w:left w:val="single" w:sz="8" w:space="0" w:color="000000"/>
              <w:bottom w:val="single" w:sz="8" w:space="0" w:color="000000"/>
              <w:right w:val="single" w:sz="8" w:space="0" w:color="000000"/>
            </w:tcBorders>
          </w:tcPr>
          <w:p w:rsidR="002A68DA" w:rsidRPr="002E1B62" w:rsidRDefault="002A68DA" w:rsidP="00793DAB">
            <w:pPr>
              <w:spacing w:line="260" w:lineRule="exact"/>
              <w:jc w:val="left"/>
              <w:rPr>
                <w:rFonts w:eastAsiaTheme="minorEastAsia"/>
              </w:rPr>
            </w:pPr>
            <w:r w:rsidRPr="002E1B62">
              <w:rPr>
                <w:rFonts w:eastAsia="標楷體" w:hint="eastAsia"/>
                <w:color w:val="auto"/>
              </w:rPr>
              <w:t>歷</w:t>
            </w:r>
            <w:r w:rsidRPr="002E1B62">
              <w:rPr>
                <w:rFonts w:eastAsia="標楷體" w:hint="eastAsia"/>
                <w:color w:val="auto"/>
              </w:rPr>
              <w:t>Cb-IV-1</w:t>
            </w:r>
            <w:r>
              <w:rPr>
                <w:rFonts w:eastAsia="標楷體" w:hint="eastAsia"/>
                <w:color w:val="auto"/>
              </w:rPr>
              <w:t xml:space="preserve"> </w:t>
            </w:r>
            <w:r w:rsidRPr="002E1B62">
              <w:rPr>
                <w:rFonts w:eastAsia="標楷體" w:hint="eastAsia"/>
                <w:color w:val="auto"/>
              </w:rPr>
              <w:t>原住民族社會及其變化。</w:t>
            </w:r>
          </w:p>
        </w:tc>
        <w:tc>
          <w:tcPr>
            <w:tcW w:w="177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社2c-IV-1</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從歷史或社會事件中，省思自身或所屬群體的文化淵源、處境及自主性。</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社3b-IV-3</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使用文字、照片、圖表、數據、地圖、年表、言語等多種方式，呈現並解釋探究結果。</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歷1a-IV-2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理解所習得歷史事件的發展歷程與重要歷史變遷。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歷1b-IV-2</w:t>
            </w:r>
            <w:r>
              <w:rPr>
                <w:rFonts w:ascii="標楷體" w:eastAsia="標楷體" w:hAnsi="標楷體" w:cs="標楷體" w:hint="eastAsia"/>
                <w:color w:val="auto"/>
              </w:rPr>
              <w:t xml:space="preserve"> </w:t>
            </w:r>
            <w:r w:rsidRPr="002E1B62">
              <w:rPr>
                <w:rFonts w:ascii="標楷體" w:eastAsia="標楷體" w:hAnsi="標楷體" w:cs="標楷體" w:hint="eastAsia"/>
                <w:color w:val="auto"/>
              </w:rPr>
              <w:t>運用歷史資料，進行歷史事件的因果分析與詮釋。</w:t>
            </w:r>
          </w:p>
        </w:tc>
        <w:tc>
          <w:tcPr>
            <w:tcW w:w="4040"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第二篇臺灣的歷史(上)</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第六章清帝國時期社會文化的變遷（第三次段考）</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 高山原住民的處境與社會變遷</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(1)牡丹社事件的影響</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(2)加禮宛事件</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2.實作與練習</w:t>
            </w:r>
          </w:p>
          <w:p w:rsidR="002A68DA" w:rsidRPr="002E1B62" w:rsidRDefault="002A68DA" w:rsidP="00793DAB">
            <w:pPr>
              <w:spacing w:line="260" w:lineRule="exact"/>
              <w:jc w:val="left"/>
              <w:rPr>
                <w:rFonts w:eastAsiaTheme="minorEastAsia"/>
              </w:rPr>
            </w:pP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3.歷史探查：圖說臺灣歷史、家鄉古蹟探查之旅</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color w:val="auto"/>
              </w:rPr>
              <w:t>1.相關掛圖</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color w:val="auto"/>
              </w:rPr>
              <w:t>2.</w:t>
            </w:r>
            <w:r w:rsidRPr="002E1B62">
              <w:rPr>
                <w:rFonts w:ascii="標楷體" w:eastAsia="標楷體" w:hAnsi="標楷體" w:cs="標楷體" w:hint="eastAsia"/>
                <w:bCs/>
                <w:snapToGrid w:val="0"/>
                <w:color w:val="auto"/>
              </w:rPr>
              <w:t>歷史文化學習網</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3.簡報</w:t>
            </w:r>
          </w:p>
          <w:p w:rsidR="002A68DA" w:rsidRPr="002E1B62" w:rsidRDefault="002A68DA" w:rsidP="00793DAB">
            <w:pPr>
              <w:spacing w:line="260" w:lineRule="exact"/>
              <w:jc w:val="left"/>
              <w:rPr>
                <w:rFonts w:eastAsiaTheme="minorEastAsia"/>
              </w:rPr>
            </w:pPr>
            <w:r w:rsidRPr="002E1B62">
              <w:rPr>
                <w:rFonts w:ascii="標楷體" w:eastAsia="標楷體" w:hAnsi="標楷體" w:cs="標楷體" w:hint="eastAsia"/>
                <w:bCs/>
                <w:snapToGrid w:val="0"/>
                <w:color w:val="auto"/>
              </w:rPr>
              <w:t>4.學習單</w:t>
            </w:r>
          </w:p>
        </w:tc>
        <w:tc>
          <w:tcPr>
            <w:tcW w:w="1346"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1.資料蒐集</w:t>
            </w:r>
          </w:p>
          <w:p w:rsidR="002A68DA" w:rsidRPr="002E1B62" w:rsidRDefault="002A68DA" w:rsidP="00793DAB">
            <w:pPr>
              <w:spacing w:line="260" w:lineRule="exact"/>
              <w:jc w:val="left"/>
              <w:rPr>
                <w:rFonts w:eastAsiaTheme="minorEastAsia"/>
                <w:bCs/>
                <w:snapToGrid w:val="0"/>
              </w:rPr>
            </w:pPr>
            <w:r w:rsidRPr="002E1B62">
              <w:rPr>
                <w:rFonts w:ascii="標楷體" w:eastAsia="標楷體" w:hAnsi="標楷體" w:cs="標楷體" w:hint="eastAsia"/>
                <w:bCs/>
                <w:snapToGrid w:val="0"/>
                <w:color w:val="auto"/>
              </w:rPr>
              <w:t>2.紙筆測驗</w:t>
            </w:r>
          </w:p>
          <w:p w:rsidR="002A68DA" w:rsidRPr="002E1B62" w:rsidRDefault="002A68DA" w:rsidP="00793DAB">
            <w:pPr>
              <w:spacing w:line="260" w:lineRule="exact"/>
              <w:jc w:val="left"/>
              <w:rPr>
                <w:rFonts w:eastAsiaTheme="minorEastAsia"/>
                <w:color w:val="0000FF"/>
              </w:rPr>
            </w:pPr>
            <w:r w:rsidRPr="002E1B62">
              <w:rPr>
                <w:rFonts w:ascii="標楷體" w:eastAsia="標楷體" w:hAnsi="標楷體" w:cs="標楷體" w:hint="eastAsia"/>
                <w:bCs/>
                <w:snapToGrid w:val="0"/>
                <w:color w:val="auto"/>
              </w:rPr>
              <w:t>3.分組討論</w:t>
            </w:r>
          </w:p>
        </w:tc>
        <w:tc>
          <w:tcPr>
            <w:tcW w:w="191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【原住民族教育】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原J4</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認識原住民族在各歷階段的重大事件。</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原J12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主動關注原住民族土地與自然資源議題。</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【閱讀素養教育】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閱J1</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發展多元文本的閱讀策略。</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閱J2</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發展跨文本的比對、分析、深究的能力，以判讀文本知識的正確性。</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閱J3</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理解學科知識內的重要詞彙的意涵，並懂得如何運用該詞彙與他人進行溝通。</w:t>
            </w:r>
          </w:p>
          <w:p w:rsidR="002A68DA" w:rsidRPr="002E1B62" w:rsidRDefault="002A68DA" w:rsidP="00793DAB">
            <w:pPr>
              <w:spacing w:line="260" w:lineRule="exact"/>
              <w:jc w:val="left"/>
              <w:rPr>
                <w:rFonts w:eastAsiaTheme="minorEastAsia"/>
                <w:b/>
              </w:rPr>
            </w:pPr>
            <w:r w:rsidRPr="002E1B62">
              <w:rPr>
                <w:rFonts w:ascii="標楷體" w:eastAsia="標楷體" w:hAnsi="標楷體" w:cs="DFKaiShu-SB-Estd-BF" w:hint="eastAsia"/>
                <w:b/>
                <w:color w:val="auto"/>
              </w:rPr>
              <w:t>【人權教育】</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人J4</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了解平等、正義的原則，並在生活中實踐。</w:t>
            </w:r>
          </w:p>
          <w:p w:rsidR="002A68DA" w:rsidRPr="002E1B62" w:rsidRDefault="002A68DA" w:rsidP="00793DAB">
            <w:pPr>
              <w:spacing w:line="260" w:lineRule="exact"/>
              <w:jc w:val="left"/>
              <w:rPr>
                <w:rFonts w:eastAsiaTheme="minorEastAsia"/>
              </w:rPr>
            </w:pPr>
            <w:r w:rsidRPr="002E1B62">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2E1B62">
              <w:rPr>
                <w:rFonts w:ascii="標楷體" w:eastAsia="標楷體" w:hAnsi="標楷體" w:cs="DFKaiShu-SB-Estd-BF" w:hint="eastAsia"/>
                <w:color w:val="auto"/>
              </w:rPr>
              <w:t>了解社會上有不同的群體和文化，尊重並欣賞其差異。</w:t>
            </w:r>
          </w:p>
        </w:tc>
        <w:tc>
          <w:tcPr>
            <w:tcW w:w="1429" w:type="dxa"/>
            <w:tcBorders>
              <w:top w:val="single" w:sz="8" w:space="0" w:color="000000"/>
              <w:bottom w:val="single" w:sz="8" w:space="0" w:color="000000"/>
              <w:right w:val="single" w:sz="8" w:space="0" w:color="000000"/>
            </w:tcBorders>
          </w:tcPr>
          <w:p w:rsidR="002A68DA" w:rsidRDefault="002A68DA" w:rsidP="00793DAB">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第三次段考</w:t>
            </w:r>
          </w:p>
          <w:p w:rsidR="002A68DA" w:rsidRPr="00500692" w:rsidRDefault="002A68DA" w:rsidP="00793DAB">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1/19~1/20</w:t>
            </w:r>
          </w:p>
        </w:tc>
      </w:tr>
    </w:tbl>
    <w:p w:rsidR="00956B1D" w:rsidRDefault="00956B1D" w:rsidP="00D37619">
      <w:pPr>
        <w:rPr>
          <w:rFonts w:ascii="標楷體" w:eastAsia="標楷體" w:hAnsi="標楷體" w:cs="標楷體"/>
          <w:b/>
          <w:sz w:val="24"/>
          <w:szCs w:val="24"/>
        </w:rPr>
      </w:pPr>
    </w:p>
    <w:sectPr w:rsidR="00956B1D"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267" w:rsidRDefault="00586267">
      <w:r>
        <w:separator/>
      </w:r>
    </w:p>
  </w:endnote>
  <w:endnote w:type="continuationSeparator" w:id="0">
    <w:p w:rsidR="00586267" w:rsidRDefault="00586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DAB" w:rsidRDefault="00586267">
    <w:pPr>
      <w:pStyle w:val="aff5"/>
      <w:jc w:val="center"/>
    </w:pPr>
    <w:r>
      <w:rPr>
        <w:noProof/>
        <w:lang w:val="zh-TW"/>
      </w:rPr>
      <w:fldChar w:fldCharType="begin"/>
    </w:r>
    <w:r>
      <w:rPr>
        <w:noProof/>
        <w:lang w:val="zh-TW"/>
      </w:rPr>
      <w:instrText>PAGE   \* MERGEFORMAT</w:instrText>
    </w:r>
    <w:r>
      <w:rPr>
        <w:noProof/>
        <w:lang w:val="zh-TW"/>
      </w:rPr>
      <w:fldChar w:fldCharType="separate"/>
    </w:r>
    <w:r w:rsidR="004209CA">
      <w:rPr>
        <w:noProof/>
        <w:lang w:val="zh-TW"/>
      </w:rPr>
      <w:t>1</w:t>
    </w:r>
    <w:r>
      <w:rPr>
        <w:noProof/>
        <w:lang w:val="zh-TW"/>
      </w:rPr>
      <w:fldChar w:fldCharType="end"/>
    </w:r>
  </w:p>
  <w:p w:rsidR="00793DAB" w:rsidRDefault="00793DAB">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267" w:rsidRDefault="00586267">
      <w:r>
        <w:separator/>
      </w:r>
    </w:p>
  </w:footnote>
  <w:footnote w:type="continuationSeparator" w:id="0">
    <w:p w:rsidR="00586267" w:rsidRDefault="005862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1607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10E267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13173C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2FC2A7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03E3590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4CD6BD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8124F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8F42A7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0C7067A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CA70FF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D38446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0DF6451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10826FA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112B402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116802C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167C508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6F605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ABC4DC1"/>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E0E26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1FBD5B2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1FEC5E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178439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228D32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235D51E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23A40BE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245049F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24A457C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15:restartNumberingAfterBreak="0">
    <w:nsid w:val="25CE7FD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27714E5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2991561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314147E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2AC35B7"/>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31F7CB6"/>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34C40D74"/>
    <w:multiLevelType w:val="hybridMultilevel"/>
    <w:tmpl w:val="39A27D5C"/>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52F13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3568216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358B56D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37462ED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15:restartNumberingAfterBreak="0">
    <w:nsid w:val="38D86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3A0A529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3BD058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3C5F455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 w15:restartNumberingAfterBreak="0">
    <w:nsid w:val="3DBB63F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3DDF469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15:restartNumberingAfterBreak="0">
    <w:nsid w:val="3DF04E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3EEF064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3F06186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41E53EA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4223724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9" w15:restartNumberingAfterBreak="0">
    <w:nsid w:val="448563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0" w15:restartNumberingAfterBreak="0">
    <w:nsid w:val="44E00AF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 w15:restartNumberingAfterBreak="0">
    <w:nsid w:val="470707F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2" w15:restartNumberingAfterBreak="0">
    <w:nsid w:val="4752591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3" w15:restartNumberingAfterBreak="0">
    <w:nsid w:val="489C58B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49B267C1"/>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4EAE255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4FB47C9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7" w15:restartNumberingAfterBreak="0">
    <w:nsid w:val="514E561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 w15:restartNumberingAfterBreak="0">
    <w:nsid w:val="5230409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9" w15:restartNumberingAfterBreak="0">
    <w:nsid w:val="528321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0" w15:restartNumberingAfterBreak="0">
    <w:nsid w:val="52A9574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 w15:restartNumberingAfterBreak="0">
    <w:nsid w:val="52EA20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 w15:restartNumberingAfterBreak="0">
    <w:nsid w:val="53940BBF"/>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4" w15:restartNumberingAfterBreak="0">
    <w:nsid w:val="59F60E47"/>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 w15:restartNumberingAfterBreak="0">
    <w:nsid w:val="5A1358B0"/>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 w15:restartNumberingAfterBreak="0">
    <w:nsid w:val="5AB217E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 w15:restartNumberingAfterBreak="0">
    <w:nsid w:val="5B1B712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5B9825B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9" w15:restartNumberingAfterBreak="0">
    <w:nsid w:val="5E9554F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 w15:restartNumberingAfterBreak="0">
    <w:nsid w:val="5F8C597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1" w15:restartNumberingAfterBreak="0">
    <w:nsid w:val="60293EE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 w15:restartNumberingAfterBreak="0">
    <w:nsid w:val="6399388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3" w15:restartNumberingAfterBreak="0">
    <w:nsid w:val="64071D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4" w15:restartNumberingAfterBreak="0">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5" w15:restartNumberingAfterBreak="0">
    <w:nsid w:val="65541B5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6" w15:restartNumberingAfterBreak="0">
    <w:nsid w:val="686D5E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7" w15:restartNumberingAfterBreak="0">
    <w:nsid w:val="69C6194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 w15:restartNumberingAfterBreak="0">
    <w:nsid w:val="6A4351FA"/>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9" w15:restartNumberingAfterBreak="0">
    <w:nsid w:val="6D1C1F6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0" w15:restartNumberingAfterBreak="0">
    <w:nsid w:val="703D1A9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1" w15:restartNumberingAfterBreak="0">
    <w:nsid w:val="73D33BEC"/>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2" w15:restartNumberingAfterBreak="0">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 w15:restartNumberingAfterBreak="0">
    <w:nsid w:val="7725180E"/>
    <w:multiLevelType w:val="hybridMultilevel"/>
    <w:tmpl w:val="70643F96"/>
    <w:lvl w:ilvl="0" w:tplc="EC1454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775A028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5" w15:restartNumberingAfterBreak="0">
    <w:nsid w:val="777C19E2"/>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6" w15:restartNumberingAfterBreak="0">
    <w:nsid w:val="787B5624"/>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7" w15:restartNumberingAfterBreak="0">
    <w:nsid w:val="78AE03E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8" w15:restartNumberingAfterBreak="0">
    <w:nsid w:val="79C72B2D"/>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 w15:restartNumberingAfterBreak="0">
    <w:nsid w:val="7B38555E"/>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15:restartNumberingAfterBreak="0">
    <w:nsid w:val="7C104525"/>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1" w15:restartNumberingAfterBreak="0">
    <w:nsid w:val="7C6C7C18"/>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2" w15:restartNumberingAfterBreak="0">
    <w:nsid w:val="7D7C59D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46"/>
  </w:num>
  <w:num w:numId="2">
    <w:abstractNumId w:val="14"/>
  </w:num>
  <w:num w:numId="3">
    <w:abstractNumId w:val="74"/>
  </w:num>
  <w:num w:numId="4">
    <w:abstractNumId w:val="83"/>
  </w:num>
  <w:num w:numId="5">
    <w:abstractNumId w:val="40"/>
  </w:num>
  <w:num w:numId="6">
    <w:abstractNumId w:val="12"/>
  </w:num>
  <w:num w:numId="7">
    <w:abstractNumId w:val="47"/>
  </w:num>
  <w:num w:numId="8">
    <w:abstractNumId w:val="31"/>
  </w:num>
  <w:num w:numId="9">
    <w:abstractNumId w:val="43"/>
  </w:num>
  <w:num w:numId="10">
    <w:abstractNumId w:val="4"/>
  </w:num>
  <w:num w:numId="11">
    <w:abstractNumId w:val="0"/>
  </w:num>
  <w:num w:numId="12">
    <w:abstractNumId w:val="17"/>
  </w:num>
  <w:num w:numId="13">
    <w:abstractNumId w:val="64"/>
  </w:num>
  <w:num w:numId="14">
    <w:abstractNumId w:val="80"/>
  </w:num>
  <w:num w:numId="15">
    <w:abstractNumId w:val="34"/>
  </w:num>
  <w:num w:numId="16">
    <w:abstractNumId w:val="2"/>
  </w:num>
  <w:num w:numId="17">
    <w:abstractNumId w:val="71"/>
  </w:num>
  <w:num w:numId="18">
    <w:abstractNumId w:val="88"/>
  </w:num>
  <w:num w:numId="19">
    <w:abstractNumId w:val="75"/>
  </w:num>
  <w:num w:numId="20">
    <w:abstractNumId w:val="92"/>
  </w:num>
  <w:num w:numId="21">
    <w:abstractNumId w:val="37"/>
  </w:num>
  <w:num w:numId="22">
    <w:abstractNumId w:val="8"/>
  </w:num>
  <w:num w:numId="23">
    <w:abstractNumId w:val="77"/>
  </w:num>
  <w:num w:numId="24">
    <w:abstractNumId w:val="3"/>
  </w:num>
  <w:num w:numId="25">
    <w:abstractNumId w:val="56"/>
  </w:num>
  <w:num w:numId="26">
    <w:abstractNumId w:val="66"/>
  </w:num>
  <w:num w:numId="27">
    <w:abstractNumId w:val="36"/>
  </w:num>
  <w:num w:numId="28">
    <w:abstractNumId w:val="27"/>
  </w:num>
  <w:num w:numId="29">
    <w:abstractNumId w:val="42"/>
  </w:num>
  <w:num w:numId="30">
    <w:abstractNumId w:val="62"/>
  </w:num>
  <w:num w:numId="31">
    <w:abstractNumId w:val="19"/>
  </w:num>
  <w:num w:numId="32">
    <w:abstractNumId w:val="48"/>
  </w:num>
  <w:num w:numId="33">
    <w:abstractNumId w:val="32"/>
  </w:num>
  <w:num w:numId="34">
    <w:abstractNumId w:val="15"/>
  </w:num>
  <w:num w:numId="35">
    <w:abstractNumId w:val="45"/>
  </w:num>
  <w:num w:numId="36">
    <w:abstractNumId w:val="70"/>
  </w:num>
  <w:num w:numId="37">
    <w:abstractNumId w:val="84"/>
  </w:num>
  <w:num w:numId="38">
    <w:abstractNumId w:val="38"/>
  </w:num>
  <w:num w:numId="39">
    <w:abstractNumId w:val="30"/>
  </w:num>
  <w:num w:numId="40">
    <w:abstractNumId w:val="28"/>
  </w:num>
  <w:num w:numId="41">
    <w:abstractNumId w:val="79"/>
  </w:num>
  <w:num w:numId="42">
    <w:abstractNumId w:val="65"/>
  </w:num>
  <w:num w:numId="43">
    <w:abstractNumId w:val="53"/>
  </w:num>
  <w:num w:numId="44">
    <w:abstractNumId w:val="35"/>
  </w:num>
  <w:num w:numId="45">
    <w:abstractNumId w:val="58"/>
  </w:num>
  <w:num w:numId="46">
    <w:abstractNumId w:val="44"/>
  </w:num>
  <w:num w:numId="47">
    <w:abstractNumId w:val="7"/>
  </w:num>
  <w:num w:numId="48">
    <w:abstractNumId w:val="41"/>
  </w:num>
  <w:num w:numId="49">
    <w:abstractNumId w:val="50"/>
  </w:num>
  <w:num w:numId="50">
    <w:abstractNumId w:val="6"/>
  </w:num>
  <w:num w:numId="51">
    <w:abstractNumId w:val="87"/>
  </w:num>
  <w:num w:numId="52">
    <w:abstractNumId w:val="60"/>
  </w:num>
  <w:num w:numId="53">
    <w:abstractNumId w:val="78"/>
  </w:num>
  <w:num w:numId="54">
    <w:abstractNumId w:val="72"/>
  </w:num>
  <w:num w:numId="55">
    <w:abstractNumId w:val="61"/>
  </w:num>
  <w:num w:numId="56">
    <w:abstractNumId w:val="67"/>
  </w:num>
  <w:num w:numId="57">
    <w:abstractNumId w:val="23"/>
  </w:num>
  <w:num w:numId="58">
    <w:abstractNumId w:val="89"/>
  </w:num>
  <w:num w:numId="59">
    <w:abstractNumId w:val="39"/>
  </w:num>
  <w:num w:numId="60">
    <w:abstractNumId w:val="85"/>
  </w:num>
  <w:num w:numId="61">
    <w:abstractNumId w:val="91"/>
  </w:num>
  <w:num w:numId="62">
    <w:abstractNumId w:val="55"/>
  </w:num>
  <w:num w:numId="63">
    <w:abstractNumId w:val="16"/>
  </w:num>
  <w:num w:numId="64">
    <w:abstractNumId w:val="25"/>
  </w:num>
  <w:num w:numId="65">
    <w:abstractNumId w:val="82"/>
  </w:num>
  <w:num w:numId="66">
    <w:abstractNumId w:val="81"/>
  </w:num>
  <w:num w:numId="67">
    <w:abstractNumId w:val="22"/>
  </w:num>
  <w:num w:numId="68">
    <w:abstractNumId w:val="57"/>
  </w:num>
  <w:num w:numId="69">
    <w:abstractNumId w:val="9"/>
  </w:num>
  <w:num w:numId="70">
    <w:abstractNumId w:val="76"/>
  </w:num>
  <w:num w:numId="71">
    <w:abstractNumId w:val="11"/>
  </w:num>
  <w:num w:numId="72">
    <w:abstractNumId w:val="63"/>
  </w:num>
  <w:num w:numId="73">
    <w:abstractNumId w:val="33"/>
  </w:num>
  <w:num w:numId="74">
    <w:abstractNumId w:val="20"/>
  </w:num>
  <w:num w:numId="75">
    <w:abstractNumId w:val="18"/>
  </w:num>
  <w:num w:numId="76">
    <w:abstractNumId w:val="59"/>
  </w:num>
  <w:num w:numId="77">
    <w:abstractNumId w:val="86"/>
  </w:num>
  <w:num w:numId="78">
    <w:abstractNumId w:val="90"/>
  </w:num>
  <w:num w:numId="79">
    <w:abstractNumId w:val="5"/>
  </w:num>
  <w:num w:numId="80">
    <w:abstractNumId w:val="29"/>
  </w:num>
  <w:num w:numId="81">
    <w:abstractNumId w:val="13"/>
  </w:num>
  <w:num w:numId="82">
    <w:abstractNumId w:val="54"/>
  </w:num>
  <w:num w:numId="83">
    <w:abstractNumId w:val="10"/>
  </w:num>
  <w:num w:numId="84">
    <w:abstractNumId w:val="1"/>
  </w:num>
  <w:num w:numId="85">
    <w:abstractNumId w:val="21"/>
  </w:num>
  <w:num w:numId="86">
    <w:abstractNumId w:val="68"/>
  </w:num>
  <w:num w:numId="87">
    <w:abstractNumId w:val="51"/>
  </w:num>
  <w:num w:numId="88">
    <w:abstractNumId w:val="69"/>
  </w:num>
  <w:num w:numId="89">
    <w:abstractNumId w:val="24"/>
  </w:num>
  <w:num w:numId="90">
    <w:abstractNumId w:val="73"/>
  </w:num>
  <w:num w:numId="91">
    <w:abstractNumId w:val="52"/>
  </w:num>
  <w:num w:numId="92">
    <w:abstractNumId w:val="49"/>
  </w:num>
  <w:num w:numId="93">
    <w:abstractNumId w:val="26"/>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CE1354"/>
    <w:rsid w:val="0000497E"/>
    <w:rsid w:val="00005FB2"/>
    <w:rsid w:val="00006DA2"/>
    <w:rsid w:val="00010F37"/>
    <w:rsid w:val="00014B99"/>
    <w:rsid w:val="00014DA1"/>
    <w:rsid w:val="0001581F"/>
    <w:rsid w:val="00017015"/>
    <w:rsid w:val="00020AF4"/>
    <w:rsid w:val="00026BCF"/>
    <w:rsid w:val="000279DB"/>
    <w:rsid w:val="000307FE"/>
    <w:rsid w:val="00030AE3"/>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27F7"/>
    <w:rsid w:val="000D4140"/>
    <w:rsid w:val="000D6C88"/>
    <w:rsid w:val="000E334A"/>
    <w:rsid w:val="000E67EC"/>
    <w:rsid w:val="000E7B47"/>
    <w:rsid w:val="000F0290"/>
    <w:rsid w:val="000F33DD"/>
    <w:rsid w:val="000F6784"/>
    <w:rsid w:val="00105275"/>
    <w:rsid w:val="00107B78"/>
    <w:rsid w:val="00110487"/>
    <w:rsid w:val="001112EF"/>
    <w:rsid w:val="00111853"/>
    <w:rsid w:val="00112170"/>
    <w:rsid w:val="0011580C"/>
    <w:rsid w:val="00115A2F"/>
    <w:rsid w:val="001218DF"/>
    <w:rsid w:val="0012196C"/>
    <w:rsid w:val="00123A2D"/>
    <w:rsid w:val="001248B8"/>
    <w:rsid w:val="001265EE"/>
    <w:rsid w:val="00130353"/>
    <w:rsid w:val="001360E9"/>
    <w:rsid w:val="00141E97"/>
    <w:rsid w:val="00143740"/>
    <w:rsid w:val="001460C3"/>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870A7"/>
    <w:rsid w:val="00290376"/>
    <w:rsid w:val="002915C9"/>
    <w:rsid w:val="002920BA"/>
    <w:rsid w:val="00294813"/>
    <w:rsid w:val="002A105E"/>
    <w:rsid w:val="002A156D"/>
    <w:rsid w:val="002A2334"/>
    <w:rsid w:val="002A402E"/>
    <w:rsid w:val="002A422B"/>
    <w:rsid w:val="002A4EAA"/>
    <w:rsid w:val="002A68DA"/>
    <w:rsid w:val="002A7515"/>
    <w:rsid w:val="002B5B91"/>
    <w:rsid w:val="002C2C4F"/>
    <w:rsid w:val="002C6411"/>
    <w:rsid w:val="002D3F86"/>
    <w:rsid w:val="002D6B47"/>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2489D"/>
    <w:rsid w:val="00330675"/>
    <w:rsid w:val="00330714"/>
    <w:rsid w:val="00333420"/>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09CA"/>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C2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6E70"/>
    <w:rsid w:val="005336C0"/>
    <w:rsid w:val="0053472D"/>
    <w:rsid w:val="00540EB2"/>
    <w:rsid w:val="00543640"/>
    <w:rsid w:val="00543FDF"/>
    <w:rsid w:val="00550328"/>
    <w:rsid w:val="005528F3"/>
    <w:rsid w:val="0055297F"/>
    <w:rsid w:val="005533E5"/>
    <w:rsid w:val="005571F5"/>
    <w:rsid w:val="00570442"/>
    <w:rsid w:val="00573E05"/>
    <w:rsid w:val="00575BF8"/>
    <w:rsid w:val="00586267"/>
    <w:rsid w:val="00586943"/>
    <w:rsid w:val="005902DD"/>
    <w:rsid w:val="00597982"/>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05E6"/>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56F37"/>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B51FE"/>
    <w:rsid w:val="006D1D3D"/>
    <w:rsid w:val="006D30E1"/>
    <w:rsid w:val="006D3ACD"/>
    <w:rsid w:val="006D3CA3"/>
    <w:rsid w:val="006D52E9"/>
    <w:rsid w:val="006E27FD"/>
    <w:rsid w:val="006E44A1"/>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4D5"/>
    <w:rsid w:val="00736961"/>
    <w:rsid w:val="00740E60"/>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DAB"/>
    <w:rsid w:val="00793F87"/>
    <w:rsid w:val="007A03E7"/>
    <w:rsid w:val="007B08AA"/>
    <w:rsid w:val="007B23E4"/>
    <w:rsid w:val="007B4583"/>
    <w:rsid w:val="007C0CAF"/>
    <w:rsid w:val="007C196E"/>
    <w:rsid w:val="007C2A65"/>
    <w:rsid w:val="007C355B"/>
    <w:rsid w:val="007C3769"/>
    <w:rsid w:val="007C4F1E"/>
    <w:rsid w:val="007C689B"/>
    <w:rsid w:val="007D347C"/>
    <w:rsid w:val="007D42F0"/>
    <w:rsid w:val="007D5CDE"/>
    <w:rsid w:val="007E320B"/>
    <w:rsid w:val="007F7838"/>
    <w:rsid w:val="00811297"/>
    <w:rsid w:val="00812AC4"/>
    <w:rsid w:val="008222BF"/>
    <w:rsid w:val="00823DF1"/>
    <w:rsid w:val="00824477"/>
    <w:rsid w:val="00825116"/>
    <w:rsid w:val="00832CA1"/>
    <w:rsid w:val="00835234"/>
    <w:rsid w:val="0084049D"/>
    <w:rsid w:val="008441A1"/>
    <w:rsid w:val="0084515D"/>
    <w:rsid w:val="00847029"/>
    <w:rsid w:val="00847164"/>
    <w:rsid w:val="00850FA4"/>
    <w:rsid w:val="008512C8"/>
    <w:rsid w:val="00851B3E"/>
    <w:rsid w:val="008555DC"/>
    <w:rsid w:val="00855A15"/>
    <w:rsid w:val="00855F30"/>
    <w:rsid w:val="00856331"/>
    <w:rsid w:val="0086419C"/>
    <w:rsid w:val="00864919"/>
    <w:rsid w:val="008656BF"/>
    <w:rsid w:val="00871317"/>
    <w:rsid w:val="00871E0A"/>
    <w:rsid w:val="0087429D"/>
    <w:rsid w:val="0087452F"/>
    <w:rsid w:val="00875CBB"/>
    <w:rsid w:val="0088018D"/>
    <w:rsid w:val="00882E64"/>
    <w:rsid w:val="00891306"/>
    <w:rsid w:val="0089168C"/>
    <w:rsid w:val="008920B6"/>
    <w:rsid w:val="0089672F"/>
    <w:rsid w:val="008A339B"/>
    <w:rsid w:val="008A5131"/>
    <w:rsid w:val="008A5E7D"/>
    <w:rsid w:val="008B066B"/>
    <w:rsid w:val="008B2B8C"/>
    <w:rsid w:val="008B56DD"/>
    <w:rsid w:val="008B7B1A"/>
    <w:rsid w:val="008C346B"/>
    <w:rsid w:val="008C40E2"/>
    <w:rsid w:val="008C6637"/>
    <w:rsid w:val="008C7AF6"/>
    <w:rsid w:val="008D2428"/>
    <w:rsid w:val="008E1F08"/>
    <w:rsid w:val="008F16B4"/>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14A9"/>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08D"/>
    <w:rsid w:val="00AD2399"/>
    <w:rsid w:val="00AD3378"/>
    <w:rsid w:val="00AE5DA6"/>
    <w:rsid w:val="00AE6E7D"/>
    <w:rsid w:val="00AF1E63"/>
    <w:rsid w:val="00AF4902"/>
    <w:rsid w:val="00B0211E"/>
    <w:rsid w:val="00B0232A"/>
    <w:rsid w:val="00B02B71"/>
    <w:rsid w:val="00B042B9"/>
    <w:rsid w:val="00B106EC"/>
    <w:rsid w:val="00B1179B"/>
    <w:rsid w:val="00B124D9"/>
    <w:rsid w:val="00B12AA8"/>
    <w:rsid w:val="00B14AB5"/>
    <w:rsid w:val="00B14B23"/>
    <w:rsid w:val="00B15D5D"/>
    <w:rsid w:val="00B200F9"/>
    <w:rsid w:val="00B20A8E"/>
    <w:rsid w:val="00B21528"/>
    <w:rsid w:val="00B21708"/>
    <w:rsid w:val="00B2365E"/>
    <w:rsid w:val="00B308B6"/>
    <w:rsid w:val="00B346A1"/>
    <w:rsid w:val="00B41FD5"/>
    <w:rsid w:val="00B47EBB"/>
    <w:rsid w:val="00B5253C"/>
    <w:rsid w:val="00B54810"/>
    <w:rsid w:val="00B5559D"/>
    <w:rsid w:val="00B62FC1"/>
    <w:rsid w:val="00B66C53"/>
    <w:rsid w:val="00B7069B"/>
    <w:rsid w:val="00B80E48"/>
    <w:rsid w:val="00B85833"/>
    <w:rsid w:val="00B858CC"/>
    <w:rsid w:val="00B8634E"/>
    <w:rsid w:val="00B87A7B"/>
    <w:rsid w:val="00B93C61"/>
    <w:rsid w:val="00B9600B"/>
    <w:rsid w:val="00BA1445"/>
    <w:rsid w:val="00BA61D7"/>
    <w:rsid w:val="00BA6B88"/>
    <w:rsid w:val="00BB2520"/>
    <w:rsid w:val="00BB3889"/>
    <w:rsid w:val="00BB4481"/>
    <w:rsid w:val="00BB69DE"/>
    <w:rsid w:val="00BC25C2"/>
    <w:rsid w:val="00BC285E"/>
    <w:rsid w:val="00BC3525"/>
    <w:rsid w:val="00BC3E0D"/>
    <w:rsid w:val="00BC75B2"/>
    <w:rsid w:val="00BD0C8A"/>
    <w:rsid w:val="00BD3CA2"/>
    <w:rsid w:val="00BD5193"/>
    <w:rsid w:val="00BD5366"/>
    <w:rsid w:val="00BE2654"/>
    <w:rsid w:val="00BE3EEA"/>
    <w:rsid w:val="00BE7C71"/>
    <w:rsid w:val="00BF1A42"/>
    <w:rsid w:val="00C01B71"/>
    <w:rsid w:val="00C0277A"/>
    <w:rsid w:val="00C16726"/>
    <w:rsid w:val="00C22E0C"/>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0FA1"/>
    <w:rsid w:val="00C85389"/>
    <w:rsid w:val="00C93D91"/>
    <w:rsid w:val="00CA47CD"/>
    <w:rsid w:val="00CB00F2"/>
    <w:rsid w:val="00CB2269"/>
    <w:rsid w:val="00CB3018"/>
    <w:rsid w:val="00CB33CC"/>
    <w:rsid w:val="00CB40FF"/>
    <w:rsid w:val="00CB62C6"/>
    <w:rsid w:val="00CB691E"/>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208F"/>
    <w:rsid w:val="00D44219"/>
    <w:rsid w:val="00D4505C"/>
    <w:rsid w:val="00D4517C"/>
    <w:rsid w:val="00D45AC9"/>
    <w:rsid w:val="00D4747A"/>
    <w:rsid w:val="00D53BDD"/>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677C"/>
    <w:rsid w:val="00DE67E2"/>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2773"/>
    <w:rsid w:val="00E655FD"/>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455C"/>
    <w:rsid w:val="00F17733"/>
    <w:rsid w:val="00F30474"/>
    <w:rsid w:val="00F37A1E"/>
    <w:rsid w:val="00F471D9"/>
    <w:rsid w:val="00F50AA5"/>
    <w:rsid w:val="00F53B9A"/>
    <w:rsid w:val="00F544FE"/>
    <w:rsid w:val="00F55354"/>
    <w:rsid w:val="00F612CC"/>
    <w:rsid w:val="00F62B3F"/>
    <w:rsid w:val="00F6351E"/>
    <w:rsid w:val="00F63EED"/>
    <w:rsid w:val="00F649DF"/>
    <w:rsid w:val="00F64A46"/>
    <w:rsid w:val="00F64A99"/>
    <w:rsid w:val="00F656D6"/>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52E2"/>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C2CFFE-17EF-455A-A235-6CFC7EA33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6419C"/>
    <w:pPr>
      <w:ind w:firstLine="23"/>
      <w:jc w:val="both"/>
    </w:pPr>
    <w:rPr>
      <w:color w:val="000000"/>
    </w:rPr>
  </w:style>
  <w:style w:type="paragraph" w:styleId="1">
    <w:name w:val="heading 1"/>
    <w:basedOn w:val="a"/>
    <w:next w:val="a"/>
    <w:rsid w:val="0086419C"/>
    <w:pPr>
      <w:keepNext/>
      <w:keepLines/>
      <w:spacing w:before="480" w:after="120"/>
      <w:contextualSpacing/>
      <w:outlineLvl w:val="0"/>
    </w:pPr>
    <w:rPr>
      <w:b/>
      <w:sz w:val="48"/>
      <w:szCs w:val="48"/>
    </w:rPr>
  </w:style>
  <w:style w:type="paragraph" w:styleId="2">
    <w:name w:val="heading 2"/>
    <w:basedOn w:val="a"/>
    <w:next w:val="a"/>
    <w:rsid w:val="0086419C"/>
    <w:pPr>
      <w:keepNext/>
      <w:keepLines/>
      <w:spacing w:before="360" w:after="80"/>
      <w:contextualSpacing/>
      <w:outlineLvl w:val="1"/>
    </w:pPr>
    <w:rPr>
      <w:b/>
      <w:sz w:val="36"/>
      <w:szCs w:val="36"/>
    </w:rPr>
  </w:style>
  <w:style w:type="paragraph" w:styleId="3">
    <w:name w:val="heading 3"/>
    <w:basedOn w:val="a"/>
    <w:next w:val="a"/>
    <w:rsid w:val="0086419C"/>
    <w:pPr>
      <w:keepNext/>
      <w:keepLines/>
      <w:spacing w:before="280" w:after="80"/>
      <w:contextualSpacing/>
      <w:outlineLvl w:val="2"/>
    </w:pPr>
    <w:rPr>
      <w:b/>
      <w:sz w:val="28"/>
      <w:szCs w:val="28"/>
    </w:rPr>
  </w:style>
  <w:style w:type="paragraph" w:styleId="4">
    <w:name w:val="heading 4"/>
    <w:basedOn w:val="a"/>
    <w:next w:val="a"/>
    <w:rsid w:val="0086419C"/>
    <w:pPr>
      <w:keepNext/>
      <w:keepLines/>
      <w:spacing w:before="240" w:after="40"/>
      <w:contextualSpacing/>
      <w:outlineLvl w:val="3"/>
    </w:pPr>
    <w:rPr>
      <w:b/>
      <w:sz w:val="24"/>
      <w:szCs w:val="24"/>
    </w:rPr>
  </w:style>
  <w:style w:type="paragraph" w:styleId="5">
    <w:name w:val="heading 5"/>
    <w:basedOn w:val="a"/>
    <w:next w:val="a"/>
    <w:rsid w:val="0086419C"/>
    <w:pPr>
      <w:keepNext/>
      <w:keepLines/>
      <w:spacing w:before="220" w:after="40"/>
      <w:contextualSpacing/>
      <w:outlineLvl w:val="4"/>
    </w:pPr>
    <w:rPr>
      <w:b/>
      <w:sz w:val="22"/>
      <w:szCs w:val="22"/>
    </w:rPr>
  </w:style>
  <w:style w:type="paragraph" w:styleId="6">
    <w:name w:val="heading 6"/>
    <w:basedOn w:val="a"/>
    <w:next w:val="a"/>
    <w:rsid w:val="0086419C"/>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86419C"/>
    <w:pPr>
      <w:ind w:firstLine="23"/>
      <w:jc w:val="both"/>
    </w:pPr>
    <w:rPr>
      <w:color w:val="000000"/>
    </w:rPr>
    <w:tblPr>
      <w:tblCellMar>
        <w:top w:w="0" w:type="dxa"/>
        <w:left w:w="0" w:type="dxa"/>
        <w:bottom w:w="0" w:type="dxa"/>
        <w:right w:w="0" w:type="dxa"/>
      </w:tblCellMar>
    </w:tblPr>
  </w:style>
  <w:style w:type="paragraph" w:styleId="a3">
    <w:name w:val="Title"/>
    <w:basedOn w:val="a"/>
    <w:next w:val="a"/>
    <w:rsid w:val="0086419C"/>
    <w:pPr>
      <w:keepNext/>
      <w:keepLines/>
      <w:spacing w:before="480" w:after="120"/>
      <w:contextualSpacing/>
    </w:pPr>
    <w:rPr>
      <w:b/>
      <w:sz w:val="72"/>
      <w:szCs w:val="72"/>
    </w:rPr>
  </w:style>
  <w:style w:type="paragraph" w:styleId="a4">
    <w:name w:val="Subtitle"/>
    <w:basedOn w:val="a"/>
    <w:next w:val="a"/>
    <w:rsid w:val="0086419C"/>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86419C"/>
    <w:tblPr>
      <w:tblStyleRowBandSize w:val="1"/>
      <w:tblStyleColBandSize w:val="1"/>
      <w:tblCellMar>
        <w:left w:w="28" w:type="dxa"/>
        <w:right w:w="28" w:type="dxa"/>
      </w:tblCellMar>
    </w:tblPr>
  </w:style>
  <w:style w:type="table" w:customStyle="1" w:styleId="a6">
    <w:basedOn w:val="TableNormal"/>
    <w:rsid w:val="0086419C"/>
    <w:tblPr>
      <w:tblStyleRowBandSize w:val="1"/>
      <w:tblStyleColBandSize w:val="1"/>
      <w:tblCellMar>
        <w:left w:w="28" w:type="dxa"/>
        <w:right w:w="28" w:type="dxa"/>
      </w:tblCellMar>
    </w:tblPr>
  </w:style>
  <w:style w:type="table" w:customStyle="1" w:styleId="a7">
    <w:basedOn w:val="TableNormal"/>
    <w:rsid w:val="0086419C"/>
    <w:tblPr>
      <w:tblStyleRowBandSize w:val="1"/>
      <w:tblStyleColBandSize w:val="1"/>
      <w:tblCellMar>
        <w:left w:w="108" w:type="dxa"/>
        <w:right w:w="108" w:type="dxa"/>
      </w:tblCellMar>
    </w:tblPr>
  </w:style>
  <w:style w:type="table" w:customStyle="1" w:styleId="a8">
    <w:basedOn w:val="TableNormal"/>
    <w:rsid w:val="0086419C"/>
    <w:tblPr>
      <w:tblStyleRowBandSize w:val="1"/>
      <w:tblStyleColBandSize w:val="1"/>
      <w:tblCellMar>
        <w:left w:w="28" w:type="dxa"/>
        <w:right w:w="28" w:type="dxa"/>
      </w:tblCellMar>
    </w:tblPr>
  </w:style>
  <w:style w:type="table" w:customStyle="1" w:styleId="a9">
    <w:basedOn w:val="TableNormal"/>
    <w:rsid w:val="0086419C"/>
    <w:tblPr>
      <w:tblStyleRowBandSize w:val="1"/>
      <w:tblStyleColBandSize w:val="1"/>
    </w:tblPr>
  </w:style>
  <w:style w:type="table" w:customStyle="1" w:styleId="aa">
    <w:basedOn w:val="TableNormal"/>
    <w:rsid w:val="0086419C"/>
    <w:tblPr>
      <w:tblStyleRowBandSize w:val="1"/>
      <w:tblStyleColBandSize w:val="1"/>
    </w:tblPr>
  </w:style>
  <w:style w:type="table" w:customStyle="1" w:styleId="ab">
    <w:basedOn w:val="TableNormal"/>
    <w:rsid w:val="0086419C"/>
    <w:tblPr>
      <w:tblStyleRowBandSize w:val="1"/>
      <w:tblStyleColBandSize w:val="1"/>
    </w:tblPr>
  </w:style>
  <w:style w:type="table" w:customStyle="1" w:styleId="ac">
    <w:basedOn w:val="TableNormal"/>
    <w:rsid w:val="0086419C"/>
    <w:tblPr>
      <w:tblStyleRowBandSize w:val="1"/>
      <w:tblStyleColBandSize w:val="1"/>
    </w:tblPr>
  </w:style>
  <w:style w:type="table" w:customStyle="1" w:styleId="ad">
    <w:basedOn w:val="TableNormal"/>
    <w:rsid w:val="0086419C"/>
    <w:tblPr>
      <w:tblStyleRowBandSize w:val="1"/>
      <w:tblStyleColBandSize w:val="1"/>
      <w:tblCellMar>
        <w:left w:w="108" w:type="dxa"/>
        <w:right w:w="108" w:type="dxa"/>
      </w:tblCellMar>
    </w:tblPr>
  </w:style>
  <w:style w:type="table" w:customStyle="1" w:styleId="ae">
    <w:basedOn w:val="TableNormal"/>
    <w:rsid w:val="0086419C"/>
    <w:tblPr>
      <w:tblStyleRowBandSize w:val="1"/>
      <w:tblStyleColBandSize w:val="1"/>
      <w:tblCellMar>
        <w:left w:w="28" w:type="dxa"/>
        <w:right w:w="28" w:type="dxa"/>
      </w:tblCellMar>
    </w:tblPr>
  </w:style>
  <w:style w:type="table" w:customStyle="1" w:styleId="af">
    <w:basedOn w:val="TableNormal"/>
    <w:rsid w:val="0086419C"/>
    <w:tblPr>
      <w:tblStyleRowBandSize w:val="1"/>
      <w:tblStyleColBandSize w:val="1"/>
      <w:tblCellMar>
        <w:left w:w="28" w:type="dxa"/>
        <w:right w:w="28" w:type="dxa"/>
      </w:tblCellMar>
    </w:tblPr>
  </w:style>
  <w:style w:type="table" w:customStyle="1" w:styleId="af0">
    <w:basedOn w:val="TableNormal"/>
    <w:rsid w:val="0086419C"/>
    <w:tblPr>
      <w:tblStyleRowBandSize w:val="1"/>
      <w:tblStyleColBandSize w:val="1"/>
      <w:tblCellMar>
        <w:left w:w="108" w:type="dxa"/>
        <w:right w:w="108" w:type="dxa"/>
      </w:tblCellMar>
    </w:tblPr>
  </w:style>
  <w:style w:type="table" w:customStyle="1" w:styleId="af1">
    <w:basedOn w:val="TableNormal"/>
    <w:rsid w:val="0086419C"/>
    <w:tblPr>
      <w:tblStyleRowBandSize w:val="1"/>
      <w:tblStyleColBandSize w:val="1"/>
      <w:tblCellMar>
        <w:left w:w="28" w:type="dxa"/>
        <w:right w:w="28" w:type="dxa"/>
      </w:tblCellMar>
    </w:tblPr>
  </w:style>
  <w:style w:type="table" w:customStyle="1" w:styleId="af2">
    <w:basedOn w:val="TableNormal"/>
    <w:rsid w:val="0086419C"/>
    <w:tblPr>
      <w:tblStyleRowBandSize w:val="1"/>
      <w:tblStyleColBandSize w:val="1"/>
      <w:tblCellMar>
        <w:left w:w="108" w:type="dxa"/>
        <w:right w:w="108" w:type="dxa"/>
      </w:tblCellMar>
    </w:tblPr>
  </w:style>
  <w:style w:type="table" w:customStyle="1" w:styleId="af3">
    <w:basedOn w:val="TableNormal"/>
    <w:rsid w:val="0086419C"/>
    <w:tblPr>
      <w:tblStyleRowBandSize w:val="1"/>
      <w:tblStyleColBandSize w:val="1"/>
    </w:tblPr>
  </w:style>
  <w:style w:type="table" w:customStyle="1" w:styleId="af4">
    <w:basedOn w:val="TableNormal"/>
    <w:rsid w:val="0086419C"/>
    <w:tblPr>
      <w:tblStyleRowBandSize w:val="1"/>
      <w:tblStyleColBandSize w:val="1"/>
      <w:tblCellMar>
        <w:left w:w="28" w:type="dxa"/>
        <w:right w:w="28" w:type="dxa"/>
      </w:tblCellMar>
    </w:tblPr>
  </w:style>
  <w:style w:type="table" w:customStyle="1" w:styleId="af5">
    <w:basedOn w:val="TableNormal"/>
    <w:rsid w:val="0086419C"/>
    <w:tblPr>
      <w:tblStyleRowBandSize w:val="1"/>
      <w:tblStyleColBandSize w:val="1"/>
      <w:tblCellMar>
        <w:left w:w="28" w:type="dxa"/>
        <w:right w:w="28" w:type="dxa"/>
      </w:tblCellMar>
    </w:tblPr>
  </w:style>
  <w:style w:type="table" w:customStyle="1" w:styleId="af6">
    <w:basedOn w:val="TableNormal"/>
    <w:rsid w:val="0086419C"/>
    <w:tblPr>
      <w:tblStyleRowBandSize w:val="1"/>
      <w:tblStyleColBandSize w:val="1"/>
      <w:tblCellMar>
        <w:left w:w="28" w:type="dxa"/>
        <w:right w:w="28" w:type="dxa"/>
      </w:tblCellMar>
    </w:tblPr>
  </w:style>
  <w:style w:type="table" w:customStyle="1" w:styleId="af7">
    <w:basedOn w:val="TableNormal"/>
    <w:rsid w:val="0086419C"/>
    <w:tblPr>
      <w:tblStyleRowBandSize w:val="1"/>
      <w:tblStyleColBandSize w:val="1"/>
      <w:tblCellMar>
        <w:left w:w="28" w:type="dxa"/>
        <w:right w:w="28" w:type="dxa"/>
      </w:tblCellMar>
    </w:tblPr>
  </w:style>
  <w:style w:type="table" w:customStyle="1" w:styleId="af8">
    <w:basedOn w:val="TableNormal"/>
    <w:rsid w:val="0086419C"/>
    <w:tblPr>
      <w:tblStyleRowBandSize w:val="1"/>
      <w:tblStyleColBandSize w:val="1"/>
      <w:tblCellMar>
        <w:left w:w="108" w:type="dxa"/>
        <w:right w:w="108" w:type="dxa"/>
      </w:tblCellMar>
    </w:tblPr>
  </w:style>
  <w:style w:type="table" w:customStyle="1" w:styleId="af9">
    <w:basedOn w:val="TableNormal"/>
    <w:rsid w:val="0086419C"/>
    <w:tblPr>
      <w:tblStyleRowBandSize w:val="1"/>
      <w:tblStyleColBandSize w:val="1"/>
    </w:tblPr>
  </w:style>
  <w:style w:type="table" w:customStyle="1" w:styleId="afa">
    <w:basedOn w:val="TableNormal"/>
    <w:rsid w:val="0086419C"/>
    <w:tblPr>
      <w:tblStyleRowBandSize w:val="1"/>
      <w:tblStyleColBandSize w:val="1"/>
    </w:tblPr>
  </w:style>
  <w:style w:type="table" w:customStyle="1" w:styleId="afb">
    <w:basedOn w:val="TableNormal"/>
    <w:rsid w:val="0086419C"/>
    <w:tblPr>
      <w:tblStyleRowBandSize w:val="1"/>
      <w:tblStyleColBandSize w:val="1"/>
      <w:tblCellMar>
        <w:top w:w="15" w:type="dxa"/>
        <w:left w:w="15" w:type="dxa"/>
        <w:bottom w:w="15" w:type="dxa"/>
        <w:right w:w="15" w:type="dxa"/>
      </w:tblCellMar>
    </w:tblPr>
  </w:style>
  <w:style w:type="table" w:customStyle="1" w:styleId="afc">
    <w:basedOn w:val="TableNormal"/>
    <w:rsid w:val="0086419C"/>
    <w:tblPr>
      <w:tblStyleRowBandSize w:val="1"/>
      <w:tblStyleColBandSize w:val="1"/>
      <w:tblCellMar>
        <w:top w:w="15" w:type="dxa"/>
        <w:left w:w="15" w:type="dxa"/>
        <w:bottom w:w="15" w:type="dxa"/>
        <w:right w:w="15" w:type="dxa"/>
      </w:tblCellMar>
    </w:tblPr>
  </w:style>
  <w:style w:type="table" w:customStyle="1" w:styleId="afd">
    <w:basedOn w:val="TableNormal"/>
    <w:rsid w:val="0086419C"/>
    <w:tblPr>
      <w:tblStyleRowBandSize w:val="1"/>
      <w:tblStyleColBandSize w:val="1"/>
      <w:tblCellMar>
        <w:top w:w="15" w:type="dxa"/>
        <w:left w:w="15" w:type="dxa"/>
        <w:bottom w:w="15" w:type="dxa"/>
        <w:right w:w="15" w:type="dxa"/>
      </w:tblCellMar>
    </w:tblPr>
  </w:style>
  <w:style w:type="table" w:customStyle="1" w:styleId="afe">
    <w:basedOn w:val="TableNormal"/>
    <w:rsid w:val="0086419C"/>
    <w:tblPr>
      <w:tblStyleRowBandSize w:val="1"/>
      <w:tblStyleColBandSize w:val="1"/>
      <w:tblCellMar>
        <w:top w:w="60" w:type="dxa"/>
        <w:left w:w="60" w:type="dxa"/>
        <w:bottom w:w="60" w:type="dxa"/>
        <w:right w:w="60" w:type="dxa"/>
      </w:tblCellMar>
    </w:tblPr>
  </w:style>
  <w:style w:type="table" w:customStyle="1" w:styleId="aff">
    <w:basedOn w:val="TableNormal"/>
    <w:rsid w:val="0086419C"/>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C93BF-5521-44E4-873B-4C2155ECE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17</Pages>
  <Words>1941</Words>
  <Characters>11065</Characters>
  <Application>Microsoft Office Word</Application>
  <DocSecurity>0</DocSecurity>
  <Lines>92</Lines>
  <Paragraphs>25</Paragraphs>
  <ScaleCrop>false</ScaleCrop>
  <Company>Hewlett-Packard Company</Company>
  <LinksUpToDate>false</LinksUpToDate>
  <CharactersWithSpaces>12981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admin</cp:lastModifiedBy>
  <cp:revision>8</cp:revision>
  <cp:lastPrinted>2018-11-20T02:54:00Z</cp:lastPrinted>
  <dcterms:created xsi:type="dcterms:W3CDTF">2020-06-05T02:33:00Z</dcterms:created>
  <dcterms:modified xsi:type="dcterms:W3CDTF">2020-07-21T07:45:00Z</dcterms:modified>
</cp:coreProperties>
</file>